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F8C5" w14:textId="27BBE138" w:rsidR="007F7B9F" w:rsidRPr="007F7B9F" w:rsidRDefault="007F7B9F" w:rsidP="007F7B9F">
      <w:pPr>
        <w:jc w:val="center"/>
        <w:rPr>
          <w:lang w:val="en-US"/>
        </w:rPr>
      </w:pPr>
      <w:r w:rsidRPr="007F7B9F">
        <w:rPr>
          <w:lang w:val="en-US"/>
        </w:rPr>
        <w:t>P E R S B E R I C H</w:t>
      </w:r>
      <w:r>
        <w:rPr>
          <w:lang w:val="en-US"/>
        </w:rPr>
        <w:t xml:space="preserve"> T</w:t>
      </w:r>
    </w:p>
    <w:p w14:paraId="2620CCE0" w14:textId="77777777" w:rsidR="007F7B9F" w:rsidRPr="007F7B9F" w:rsidRDefault="007F7B9F" w:rsidP="00CB7F18">
      <w:pPr>
        <w:rPr>
          <w:b/>
          <w:bCs/>
          <w:lang w:val="en-US"/>
        </w:rPr>
      </w:pPr>
    </w:p>
    <w:p w14:paraId="77A223C3" w14:textId="26765ED5" w:rsidR="00A7452C" w:rsidRPr="000F1536" w:rsidRDefault="00A7452C" w:rsidP="00CB7F18">
      <w:pPr>
        <w:rPr>
          <w:b/>
          <w:bCs/>
        </w:rPr>
      </w:pPr>
      <w:r w:rsidRPr="000F1536">
        <w:rPr>
          <w:b/>
          <w:bCs/>
        </w:rPr>
        <w:t xml:space="preserve">Nieuw praktijkboek voor </w:t>
      </w:r>
      <w:r w:rsidR="000464FD" w:rsidRPr="000F1536">
        <w:rPr>
          <w:b/>
          <w:bCs/>
        </w:rPr>
        <w:t xml:space="preserve">de </w:t>
      </w:r>
      <w:r w:rsidRPr="000F1536">
        <w:rPr>
          <w:b/>
          <w:bCs/>
        </w:rPr>
        <w:t>verduurzaming van erfgoed en monumenten</w:t>
      </w:r>
    </w:p>
    <w:p w14:paraId="7A4AE6D5" w14:textId="77777777" w:rsidR="00A7452C" w:rsidRDefault="00A7452C" w:rsidP="00CB7F18"/>
    <w:p w14:paraId="17FC1530" w14:textId="3802AD72" w:rsidR="002D78E4" w:rsidRPr="00C1738A" w:rsidRDefault="002D78E4" w:rsidP="00CB7F18">
      <w:pPr>
        <w:rPr>
          <w:b/>
          <w:bCs/>
        </w:rPr>
      </w:pPr>
      <w:r w:rsidRPr="00C1738A">
        <w:rPr>
          <w:b/>
          <w:bCs/>
        </w:rPr>
        <w:t>Met h</w:t>
      </w:r>
      <w:r w:rsidR="00CB7F18" w:rsidRPr="00C1738A">
        <w:rPr>
          <w:b/>
          <w:bCs/>
        </w:rPr>
        <w:t xml:space="preserve">et </w:t>
      </w:r>
      <w:r w:rsidR="006C7F6E">
        <w:rPr>
          <w:b/>
          <w:bCs/>
        </w:rPr>
        <w:t>ISSO-</w:t>
      </w:r>
      <w:r w:rsidR="00CB7F18" w:rsidRPr="00C1738A">
        <w:rPr>
          <w:b/>
          <w:bCs/>
        </w:rPr>
        <w:t xml:space="preserve">Praktijkboek Duurzaam Erfgoed </w:t>
      </w:r>
      <w:r w:rsidRPr="00C1738A">
        <w:rPr>
          <w:b/>
          <w:bCs/>
        </w:rPr>
        <w:t xml:space="preserve">beschikt de </w:t>
      </w:r>
      <w:r w:rsidR="006C7F6E">
        <w:rPr>
          <w:b/>
          <w:bCs/>
        </w:rPr>
        <w:t>professional</w:t>
      </w:r>
      <w:r w:rsidR="006C7F6E" w:rsidRPr="00C1738A">
        <w:rPr>
          <w:b/>
          <w:bCs/>
        </w:rPr>
        <w:t xml:space="preserve"> </w:t>
      </w:r>
      <w:r w:rsidRPr="00C1738A">
        <w:rPr>
          <w:b/>
          <w:bCs/>
        </w:rPr>
        <w:t>over een volledig naslagwerk met toepasbare kennis, praktische handvatten, voorbeelden en diverse strategieën. Het praktijkboek i</w:t>
      </w:r>
      <w:r w:rsidR="00CB7F18" w:rsidRPr="00C1738A">
        <w:rPr>
          <w:b/>
          <w:bCs/>
        </w:rPr>
        <w:t>s een complete herziening van het</w:t>
      </w:r>
      <w:r w:rsidRPr="00C1738A">
        <w:rPr>
          <w:b/>
          <w:bCs/>
        </w:rPr>
        <w:t xml:space="preserve"> reeds bestaande</w:t>
      </w:r>
      <w:r w:rsidR="00CB7F18" w:rsidRPr="00C1738A">
        <w:rPr>
          <w:b/>
          <w:bCs/>
        </w:rPr>
        <w:t xml:space="preserve"> Handboek Duurzame Monumentenzorg. </w:t>
      </w:r>
      <w:r w:rsidRPr="00C1738A">
        <w:rPr>
          <w:b/>
          <w:bCs/>
        </w:rPr>
        <w:t>Alleen is de reikwijdte van d</w:t>
      </w:r>
      <w:r w:rsidR="00CB7F18" w:rsidRPr="00C1738A">
        <w:rPr>
          <w:b/>
          <w:bCs/>
        </w:rPr>
        <w:t xml:space="preserve">it Praktijkboek </w:t>
      </w:r>
      <w:r w:rsidRPr="00C1738A">
        <w:rPr>
          <w:b/>
          <w:bCs/>
        </w:rPr>
        <w:t>verbreed van monumenten naar alle erfgoed van vóór 1940.</w:t>
      </w:r>
    </w:p>
    <w:p w14:paraId="7F8CE0BD" w14:textId="77777777" w:rsidR="002D78E4" w:rsidRDefault="002D78E4" w:rsidP="00CB7F18"/>
    <w:p w14:paraId="5505D17A" w14:textId="09125F3D" w:rsidR="00CB7F18" w:rsidRDefault="000F1536" w:rsidP="000F1536">
      <w:r>
        <w:t xml:space="preserve">Het nieuwe praktijkboek biedt de </w:t>
      </w:r>
      <w:r w:rsidR="006C7F6E">
        <w:t xml:space="preserve">professional </w:t>
      </w:r>
      <w:r w:rsidR="00CB7F18">
        <w:t>duidelijke tekst en uitleg</w:t>
      </w:r>
      <w:r>
        <w:t xml:space="preserve"> over de verduurzamingsstappen</w:t>
      </w:r>
      <w:r w:rsidR="00CB7F18">
        <w:t xml:space="preserve">, met </w:t>
      </w:r>
      <w:r w:rsidR="00FB5B1A">
        <w:t xml:space="preserve">daarbij </w:t>
      </w:r>
      <w:r w:rsidR="00CB7F18">
        <w:t>verwijzingen naar beschikbare tools en richtlijnen.</w:t>
      </w:r>
      <w:r>
        <w:t xml:space="preserve"> De </w:t>
      </w:r>
      <w:r w:rsidR="006C7F6E">
        <w:t xml:space="preserve">kennis </w:t>
      </w:r>
      <w:r>
        <w:t xml:space="preserve">is geschreven voor een zeer </w:t>
      </w:r>
      <w:r w:rsidR="005F5D73">
        <w:t>brede doelgroep professionals in</w:t>
      </w:r>
      <w:r w:rsidR="00CB7F18">
        <w:t xml:space="preserve"> de bouw- en erfgoed</w:t>
      </w:r>
      <w:r w:rsidR="005F5D73">
        <w:t>sector</w:t>
      </w:r>
      <w:r w:rsidR="00CB7F18">
        <w:t>,</w:t>
      </w:r>
      <w:r w:rsidR="005F5D73">
        <w:t xml:space="preserve"> maar is ook toegankelijk voor</w:t>
      </w:r>
      <w:r w:rsidR="00CB7F18">
        <w:t xml:space="preserve"> opdrachtgevers en eigenaren. </w:t>
      </w:r>
      <w:r w:rsidR="00D9615B">
        <w:t>Juist voor deze doelgroepen zorgt</w:t>
      </w:r>
      <w:r w:rsidR="005F5D73">
        <w:t xml:space="preserve"> het praktijkboek </w:t>
      </w:r>
      <w:r w:rsidR="00D9615B">
        <w:t>voor een</w:t>
      </w:r>
      <w:r w:rsidR="00CB7F18">
        <w:t xml:space="preserve"> beter</w:t>
      </w:r>
      <w:r w:rsidR="00D9615B">
        <w:t>e</w:t>
      </w:r>
      <w:r w:rsidR="00CB7F18">
        <w:t xml:space="preserve"> structurer</w:t>
      </w:r>
      <w:r w:rsidR="00D9615B">
        <w:t>ing</w:t>
      </w:r>
      <w:r w:rsidR="00CB7F18">
        <w:t xml:space="preserve"> van het kennisaanbod. </w:t>
      </w:r>
      <w:r w:rsidR="00D9615B">
        <w:t>Hiermee</w:t>
      </w:r>
      <w:r w:rsidR="005F5D73">
        <w:t xml:space="preserve"> </w:t>
      </w:r>
      <w:r w:rsidR="00D9615B">
        <w:t>deelt ISSO belangrijke,</w:t>
      </w:r>
      <w:r w:rsidR="00CB7F18">
        <w:t xml:space="preserve"> nieuwe kennis</w:t>
      </w:r>
      <w:r w:rsidR="006B0A19">
        <w:t xml:space="preserve"> en </w:t>
      </w:r>
      <w:r w:rsidR="00CB7F18">
        <w:t>praktijkervaring</w:t>
      </w:r>
      <w:r w:rsidR="00D9615B">
        <w:t>en maar ook informatie over</w:t>
      </w:r>
      <w:r w:rsidR="00CB7F18">
        <w:t xml:space="preserve"> het werken met de ERM-uitvoeringsrichtlijnen. De kracht van deze </w:t>
      </w:r>
      <w:r w:rsidR="006C7F6E">
        <w:t>uitgave</w:t>
      </w:r>
      <w:r w:rsidR="00CB7F18">
        <w:t xml:space="preserve"> ligt </w:t>
      </w:r>
      <w:r w:rsidR="00D9615B">
        <w:t>bij</w:t>
      </w:r>
      <w:r w:rsidR="00CB7F18">
        <w:t xml:space="preserve"> een procesaanpak waarin erfgoeddeskundigen, bouw- en installatiedeskundigen, energie- en verduurzamingsexperts elkaar tegenkomen en hun expertise bundelen. </w:t>
      </w:r>
    </w:p>
    <w:p w14:paraId="5B420904" w14:textId="77777777" w:rsidR="00CB7F18" w:rsidRDefault="00CB7F18" w:rsidP="00CB7F18"/>
    <w:p w14:paraId="32C6B4FC" w14:textId="019D2886" w:rsidR="00C1738A" w:rsidRPr="00C1738A" w:rsidRDefault="006B0A19" w:rsidP="00CB7F18">
      <w:pPr>
        <w:rPr>
          <w:b/>
          <w:bCs/>
        </w:rPr>
      </w:pPr>
      <w:r>
        <w:rPr>
          <w:b/>
          <w:bCs/>
        </w:rPr>
        <w:t>Actiebereidheid bij erfgoedeigenaar</w:t>
      </w:r>
    </w:p>
    <w:p w14:paraId="5C9C39D2" w14:textId="0B2C17FB" w:rsidR="00D9615B" w:rsidRDefault="00D9615B" w:rsidP="00D9615B">
      <w:r>
        <w:t>Het doel van</w:t>
      </w:r>
      <w:r w:rsidR="00CB7F18">
        <w:t xml:space="preserve"> </w:t>
      </w:r>
      <w:r w:rsidR="006C7F6E">
        <w:t>deze kennis</w:t>
      </w:r>
      <w:r w:rsidR="00CB7F18">
        <w:t xml:space="preserve"> </w:t>
      </w:r>
      <w:r>
        <w:t>is h</w:t>
      </w:r>
      <w:r w:rsidR="00CB7F18">
        <w:t xml:space="preserve">et bevorderen en ondersteunen van de actiebereidheid </w:t>
      </w:r>
      <w:r w:rsidR="00FB5B1A">
        <w:t>bij</w:t>
      </w:r>
      <w:r w:rsidR="00CB7F18">
        <w:t xml:space="preserve"> de erfgoedeigenaar of beheerder</w:t>
      </w:r>
      <w:r>
        <w:t xml:space="preserve">. Daarvoor levert </w:t>
      </w:r>
      <w:r w:rsidR="006B0A19">
        <w:t>het praktijk</w:t>
      </w:r>
      <w:r w:rsidR="007F7B9F">
        <w:t>boek</w:t>
      </w:r>
      <w:r>
        <w:t xml:space="preserve"> </w:t>
      </w:r>
      <w:r w:rsidR="00CB7F18">
        <w:t>betrouwbare informatie</w:t>
      </w:r>
      <w:r>
        <w:t xml:space="preserve"> en </w:t>
      </w:r>
      <w:r w:rsidR="007F7B9F">
        <w:t>deel</w:t>
      </w:r>
      <w:r w:rsidR="006B0A19">
        <w:t xml:space="preserve">t </w:t>
      </w:r>
      <w:r w:rsidR="007F7B9F">
        <w:t xml:space="preserve">het </w:t>
      </w:r>
      <w:r w:rsidR="006B0A19">
        <w:t>zo de</w:t>
      </w:r>
      <w:r w:rsidR="007F7B9F">
        <w:t xml:space="preserve"> noodzakelijke</w:t>
      </w:r>
      <w:r w:rsidR="006B0A19">
        <w:t xml:space="preserve"> kennis </w:t>
      </w:r>
      <w:r>
        <w:t xml:space="preserve">met </w:t>
      </w:r>
      <w:r w:rsidR="00CB7F18">
        <w:t xml:space="preserve">alle </w:t>
      </w:r>
      <w:r w:rsidR="006B0A19">
        <w:t>professionals</w:t>
      </w:r>
      <w:r w:rsidR="00CB7F18">
        <w:t xml:space="preserve">. </w:t>
      </w:r>
    </w:p>
    <w:p w14:paraId="2373FEE2" w14:textId="77777777" w:rsidR="00D9615B" w:rsidRDefault="00D9615B" w:rsidP="00D9615B"/>
    <w:p w14:paraId="66B30603" w14:textId="4F17F444" w:rsidR="00C1738A" w:rsidRPr="00C1738A" w:rsidRDefault="00C1738A" w:rsidP="00D9615B">
      <w:pPr>
        <w:rPr>
          <w:b/>
          <w:bCs/>
        </w:rPr>
      </w:pPr>
      <w:r w:rsidRPr="00C1738A">
        <w:rPr>
          <w:b/>
          <w:bCs/>
        </w:rPr>
        <w:t>Beschrijving van speelveld</w:t>
      </w:r>
    </w:p>
    <w:p w14:paraId="30FF3502" w14:textId="0AE01F6C" w:rsidR="00D9615B" w:rsidRDefault="00D9615B" w:rsidP="00D9615B">
      <w:r>
        <w:t xml:space="preserve">Zaken als het overheidsbeleid en de collectieve aanpak komen aan bod. Het klimaatakkoord, de energietransitie, de Omgevingswet maar ook andere doelstellingen rondom verduurzaming van maatschappelijk vastgoed hebben een verrijkende invloed. Het is belangrijk dat alle betrokken partijen weten wat dit voor implicaties heeft bij het verduurzamen van erfgoed. Daarnaast komen belangrijke ontwikkelingen in dit vakgebied aan bod, zoals herbestemming van erfgoed, de gebiedsgerichte aanpak </w:t>
      </w:r>
      <w:r w:rsidR="005F56B5">
        <w:t>en</w:t>
      </w:r>
      <w:r>
        <w:t xml:space="preserve"> innovaties, die eveneens het speelveld bepalen bij het verduurzamen van erfgoed.</w:t>
      </w:r>
    </w:p>
    <w:p w14:paraId="49A14D1E" w14:textId="77777777" w:rsidR="00D9615B" w:rsidRDefault="00D9615B" w:rsidP="00D9615B"/>
    <w:p w14:paraId="1E5AAA2F" w14:textId="4E5BC067" w:rsidR="00C1738A" w:rsidRPr="00C1738A" w:rsidRDefault="00A611A7" w:rsidP="00D9615B">
      <w:pPr>
        <w:rPr>
          <w:b/>
          <w:bCs/>
        </w:rPr>
      </w:pPr>
      <w:r>
        <w:rPr>
          <w:b/>
          <w:bCs/>
        </w:rPr>
        <w:t>V</w:t>
      </w:r>
      <w:r w:rsidR="00C1738A" w:rsidRPr="00C1738A">
        <w:rPr>
          <w:b/>
          <w:bCs/>
        </w:rPr>
        <w:t>erschillende strategi</w:t>
      </w:r>
      <w:r w:rsidR="00C1738A">
        <w:rPr>
          <w:b/>
          <w:bCs/>
        </w:rPr>
        <w:t>e</w:t>
      </w:r>
      <w:r w:rsidR="00C1738A" w:rsidRPr="00C1738A">
        <w:rPr>
          <w:b/>
          <w:bCs/>
        </w:rPr>
        <w:t>ën</w:t>
      </w:r>
    </w:p>
    <w:p w14:paraId="4C184500" w14:textId="75DC17AA" w:rsidR="00D9615B" w:rsidRDefault="006C7F6E" w:rsidP="00D9615B">
      <w:r>
        <w:t>Het praktijkboek</w:t>
      </w:r>
      <w:r w:rsidR="00D9615B">
        <w:t xml:space="preserve"> bevat een uitwerking </w:t>
      </w:r>
      <w:r>
        <w:t xml:space="preserve">van </w:t>
      </w:r>
      <w:r w:rsidR="00D9615B">
        <w:t xml:space="preserve">21 verschillende strategieën. Elke strategie focust zich op een specifiek maar vaak wel onmisbaar onderdeel </w:t>
      </w:r>
      <w:r w:rsidR="005F56B5">
        <w:t xml:space="preserve">van </w:t>
      </w:r>
      <w:r w:rsidR="00D9615B">
        <w:t xml:space="preserve">de verduurzaming van erfgoed. Dit varieert van het doorgronden van het gebouw of aandacht voor hergebruik en circulariteit, maar ook het inzetten van energie- en waterbesparende maatregelen of een restauratiestrategie die is afgestemd op het </w:t>
      </w:r>
      <w:proofErr w:type="spellStart"/>
      <w:r w:rsidR="00D9615B">
        <w:t>DuMo</w:t>
      </w:r>
      <w:proofErr w:type="spellEnd"/>
      <w:r w:rsidR="00D9615B">
        <w:t>-profiel. Het instrument Duurzame Monumentenzorg (</w:t>
      </w:r>
      <w:proofErr w:type="spellStart"/>
      <w:r w:rsidR="00D9615B">
        <w:t>DuMo</w:t>
      </w:r>
      <w:proofErr w:type="spellEnd"/>
      <w:r w:rsidR="00D9615B">
        <w:t>) i</w:t>
      </w:r>
      <w:r w:rsidR="00C1738A">
        <w:t xml:space="preserve">s </w:t>
      </w:r>
      <w:r w:rsidR="00D9615B">
        <w:t>aan het praktijkboek toegevoegd. Dit geldt ook voor het Werkblad Mo-coëfficiënt, waarmee eigenaren zelf de monumentale waarde van hun erfgoed</w:t>
      </w:r>
      <w:r w:rsidR="00D9615B" w:rsidRPr="00BD0791">
        <w:t xml:space="preserve"> </w:t>
      </w:r>
      <w:r w:rsidR="00D9615B">
        <w:t xml:space="preserve">kunnen bepalen. </w:t>
      </w:r>
    </w:p>
    <w:p w14:paraId="19F27211" w14:textId="77777777" w:rsidR="00C1738A" w:rsidRDefault="00C1738A" w:rsidP="00CB7F18"/>
    <w:p w14:paraId="1DFCE8A9" w14:textId="77777777" w:rsidR="00C1738A" w:rsidRPr="00C1738A" w:rsidRDefault="00C1738A" w:rsidP="00CB7F18">
      <w:pPr>
        <w:rPr>
          <w:b/>
          <w:bCs/>
        </w:rPr>
      </w:pPr>
      <w:r w:rsidRPr="00C1738A">
        <w:rPr>
          <w:b/>
          <w:bCs/>
        </w:rPr>
        <w:t>Samenwerking met partners</w:t>
      </w:r>
    </w:p>
    <w:p w14:paraId="1A8EC906" w14:textId="35A0BD0B" w:rsidR="00CB7F18" w:rsidRDefault="00CB7F18" w:rsidP="00C1738A">
      <w:r>
        <w:t xml:space="preserve">Voor de nieuwe uitgave van het Praktijkboek </w:t>
      </w:r>
      <w:r w:rsidR="00C1738A">
        <w:t>werkte ISSO</w:t>
      </w:r>
      <w:r>
        <w:t xml:space="preserve"> actief samen met het netwerk in de Nederlandse erfgoedsector. Belangrijke partners en financiers zijn de Rijksdienst voor het </w:t>
      </w:r>
      <w:r>
        <w:lastRenderedPageBreak/>
        <w:t xml:space="preserve">Cultureel Erfgoed (RCE), het Rijksvastgoedbedrijf (RVB), de stichting Erkende Restauratiekwaliteit Monumentenzorg (ERM), het Nationaal Restauratiefonds (NRF), en het Nationaal Centrum Erfgoedopleidingen (NCE). Deze organisaties zijn ook vertegenwoordigd in de </w:t>
      </w:r>
      <w:proofErr w:type="spellStart"/>
      <w:r w:rsidR="006C7F6E">
        <w:t>Kontaktgroep</w:t>
      </w:r>
      <w:proofErr w:type="spellEnd"/>
      <w:r w:rsidR="006C7F6E">
        <w:t xml:space="preserve"> </w:t>
      </w:r>
      <w:r w:rsidR="00C1738A">
        <w:t>die meedacht</w:t>
      </w:r>
      <w:r>
        <w:t xml:space="preserve"> over de </w:t>
      </w:r>
      <w:r w:rsidR="006C7F6E">
        <w:t>kennisontwikkeling</w:t>
      </w:r>
      <w:r>
        <w:t xml:space="preserve">. </w:t>
      </w:r>
    </w:p>
    <w:p w14:paraId="2DD45537" w14:textId="77777777" w:rsidR="00CB7F18" w:rsidRDefault="00CB7F18"/>
    <w:p w14:paraId="682C7935" w14:textId="77777777" w:rsidR="007F7B9F" w:rsidRPr="00B95484" w:rsidRDefault="007F7B9F" w:rsidP="007F7B9F">
      <w:pPr>
        <w:rPr>
          <w:rFonts w:cstheme="minorHAnsi"/>
          <w:sz w:val="22"/>
          <w:szCs w:val="22"/>
        </w:rPr>
      </w:pPr>
    </w:p>
    <w:p w14:paraId="0D32D66D" w14:textId="77777777" w:rsidR="007F7B9F" w:rsidRPr="00B95484" w:rsidRDefault="007F7B9F" w:rsidP="007F7B9F">
      <w:pPr>
        <w:pStyle w:val="Geenafstand"/>
        <w:pBdr>
          <w:bottom w:val="single" w:sz="6" w:space="1" w:color="auto"/>
        </w:pBdr>
        <w:rPr>
          <w:rFonts w:asciiTheme="minorHAnsi" w:hAnsiTheme="minorHAnsi" w:cstheme="minorHAnsi"/>
          <w:i/>
          <w:sz w:val="22"/>
          <w:szCs w:val="22"/>
        </w:rPr>
      </w:pPr>
      <w:r w:rsidRPr="00B95484">
        <w:rPr>
          <w:rFonts w:asciiTheme="minorHAnsi" w:hAnsiTheme="minorHAnsi" w:cstheme="minorHAnsi"/>
          <w:i/>
          <w:sz w:val="22"/>
          <w:szCs w:val="22"/>
        </w:rPr>
        <w:t xml:space="preserve">- einde bericht – </w:t>
      </w:r>
    </w:p>
    <w:p w14:paraId="7258C3D9" w14:textId="77777777" w:rsidR="007F7B9F" w:rsidRPr="00B95484" w:rsidRDefault="007F7B9F" w:rsidP="007F7B9F">
      <w:pPr>
        <w:pStyle w:val="Geenafstand"/>
        <w:rPr>
          <w:rFonts w:asciiTheme="minorHAnsi" w:hAnsiTheme="minorHAnsi" w:cstheme="minorHAnsi"/>
          <w:iCs/>
          <w:sz w:val="22"/>
          <w:szCs w:val="22"/>
        </w:rPr>
      </w:pPr>
      <w:r w:rsidRPr="00B95484">
        <w:rPr>
          <w:rFonts w:asciiTheme="minorHAnsi" w:hAnsiTheme="minorHAnsi" w:cstheme="minorHAnsi"/>
          <w:i/>
          <w:sz w:val="22"/>
          <w:szCs w:val="22"/>
        </w:rPr>
        <w:t>Noot voor de redactie, niet voor publicatie:</w:t>
      </w:r>
      <w:r w:rsidRPr="00B95484">
        <w:rPr>
          <w:rFonts w:asciiTheme="minorHAnsi" w:hAnsiTheme="minorHAnsi" w:cstheme="minorHAnsi"/>
          <w:i/>
          <w:sz w:val="22"/>
          <w:szCs w:val="22"/>
        </w:rPr>
        <w:br/>
      </w:r>
    </w:p>
    <w:p w14:paraId="525E5B22" w14:textId="77777777" w:rsidR="007F7B9F" w:rsidRPr="00B95484" w:rsidRDefault="007F7B9F" w:rsidP="007F7B9F">
      <w:pPr>
        <w:pStyle w:val="Geenafstand"/>
        <w:rPr>
          <w:rFonts w:asciiTheme="minorHAnsi" w:hAnsiTheme="minorHAnsi" w:cstheme="minorHAnsi"/>
          <w:sz w:val="22"/>
          <w:szCs w:val="22"/>
        </w:rPr>
      </w:pPr>
      <w:r w:rsidRPr="00B95484">
        <w:rPr>
          <w:rFonts w:asciiTheme="minorHAnsi" w:hAnsiTheme="minorHAnsi" w:cstheme="minorHAnsi"/>
          <w:iCs/>
          <w:sz w:val="22"/>
          <w:szCs w:val="22"/>
        </w:rPr>
        <w:t>Voor meer informatie of aanvullend beeldmateriaal kunt u contact opnemen met:</w:t>
      </w:r>
      <w:r w:rsidRPr="00B95484">
        <w:rPr>
          <w:rFonts w:asciiTheme="minorHAnsi" w:hAnsiTheme="minorHAnsi" w:cstheme="minorHAnsi"/>
          <w:iCs/>
          <w:sz w:val="22"/>
          <w:szCs w:val="22"/>
        </w:rPr>
        <w:br/>
      </w:r>
      <w:proofErr w:type="spellStart"/>
      <w:r w:rsidRPr="00B95484">
        <w:rPr>
          <w:rFonts w:asciiTheme="minorHAnsi" w:hAnsiTheme="minorHAnsi" w:cstheme="minorHAnsi"/>
          <w:iCs/>
          <w:sz w:val="22"/>
          <w:szCs w:val="22"/>
        </w:rPr>
        <w:t>Reshm</w:t>
      </w:r>
      <w:proofErr w:type="spellEnd"/>
      <w:r w:rsidRPr="00B95484">
        <w:rPr>
          <w:rFonts w:asciiTheme="minorHAnsi" w:hAnsiTheme="minorHAnsi" w:cstheme="minorHAnsi"/>
          <w:iCs/>
          <w:sz w:val="22"/>
          <w:szCs w:val="22"/>
        </w:rPr>
        <w:t xml:space="preserve"> </w:t>
      </w:r>
      <w:proofErr w:type="spellStart"/>
      <w:r w:rsidRPr="00B95484">
        <w:rPr>
          <w:rFonts w:asciiTheme="minorHAnsi" w:hAnsiTheme="minorHAnsi" w:cstheme="minorHAnsi"/>
          <w:iCs/>
          <w:sz w:val="22"/>
          <w:szCs w:val="22"/>
        </w:rPr>
        <w:t>Murli</w:t>
      </w:r>
      <w:proofErr w:type="spellEnd"/>
      <w:r w:rsidRPr="00B95484">
        <w:rPr>
          <w:rFonts w:asciiTheme="minorHAnsi" w:hAnsiTheme="minorHAnsi" w:cstheme="minorHAnsi"/>
          <w:iCs/>
          <w:sz w:val="22"/>
          <w:szCs w:val="22"/>
        </w:rPr>
        <w:t xml:space="preserve">, marketingspecialist bij ISSO </w:t>
      </w:r>
      <w:r w:rsidRPr="00B95484">
        <w:rPr>
          <w:rFonts w:asciiTheme="minorHAnsi" w:hAnsiTheme="minorHAnsi" w:cstheme="minorHAnsi"/>
          <w:iCs/>
          <w:sz w:val="22"/>
          <w:szCs w:val="22"/>
        </w:rPr>
        <w:br/>
        <w:t xml:space="preserve">T. 010-206 59 69 E. </w:t>
      </w:r>
      <w:hyperlink r:id="rId7" w:history="1">
        <w:r w:rsidRPr="00B95484">
          <w:rPr>
            <w:rStyle w:val="Hyperlink"/>
            <w:rFonts w:asciiTheme="minorHAnsi" w:hAnsiTheme="minorHAnsi" w:cstheme="minorHAnsi"/>
            <w:sz w:val="22"/>
            <w:szCs w:val="22"/>
          </w:rPr>
          <w:t>r.murli@isso.nl</w:t>
        </w:r>
      </w:hyperlink>
      <w:r w:rsidRPr="00B95484">
        <w:rPr>
          <w:rFonts w:asciiTheme="minorHAnsi" w:hAnsiTheme="minorHAnsi" w:cstheme="minorHAnsi"/>
          <w:iCs/>
          <w:sz w:val="22"/>
          <w:szCs w:val="22"/>
        </w:rPr>
        <w:t xml:space="preserve"> </w:t>
      </w:r>
    </w:p>
    <w:p w14:paraId="08DB1892" w14:textId="77777777" w:rsidR="007F7B9F" w:rsidRPr="00B95484" w:rsidRDefault="007F7B9F" w:rsidP="007F7B9F">
      <w:pPr>
        <w:pStyle w:val="Geenafstand"/>
        <w:rPr>
          <w:rFonts w:asciiTheme="minorHAnsi" w:hAnsiTheme="minorHAnsi" w:cstheme="minorHAnsi"/>
          <w:sz w:val="22"/>
          <w:szCs w:val="22"/>
        </w:rPr>
      </w:pPr>
    </w:p>
    <w:p w14:paraId="5F9E1033" w14:textId="77777777" w:rsidR="007F7B9F" w:rsidRDefault="007F7B9F"/>
    <w:sectPr w:rsidR="007F7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18"/>
    <w:rsid w:val="000464FD"/>
    <w:rsid w:val="000F1536"/>
    <w:rsid w:val="002D78E4"/>
    <w:rsid w:val="005F56B5"/>
    <w:rsid w:val="005F5D73"/>
    <w:rsid w:val="006B0A19"/>
    <w:rsid w:val="006C7F6E"/>
    <w:rsid w:val="007F7B9F"/>
    <w:rsid w:val="00A611A7"/>
    <w:rsid w:val="00A7452C"/>
    <w:rsid w:val="00C1738A"/>
    <w:rsid w:val="00CB7F18"/>
    <w:rsid w:val="00D9615B"/>
    <w:rsid w:val="00FB5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7621"/>
  <w15:chartTrackingRefBased/>
  <w15:docId w15:val="{C4110D5C-0B35-E248-9136-900B62FA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F56B5"/>
  </w:style>
  <w:style w:type="character" w:styleId="Verwijzingopmerking">
    <w:name w:val="annotation reference"/>
    <w:basedOn w:val="Standaardalinea-lettertype"/>
    <w:uiPriority w:val="99"/>
    <w:semiHidden/>
    <w:unhideWhenUsed/>
    <w:rsid w:val="005F56B5"/>
    <w:rPr>
      <w:sz w:val="16"/>
      <w:szCs w:val="16"/>
    </w:rPr>
  </w:style>
  <w:style w:type="paragraph" w:styleId="Tekstopmerking">
    <w:name w:val="annotation text"/>
    <w:basedOn w:val="Standaard"/>
    <w:link w:val="TekstopmerkingChar"/>
    <w:uiPriority w:val="99"/>
    <w:unhideWhenUsed/>
    <w:rsid w:val="005F56B5"/>
    <w:rPr>
      <w:sz w:val="20"/>
      <w:szCs w:val="20"/>
    </w:rPr>
  </w:style>
  <w:style w:type="character" w:customStyle="1" w:styleId="TekstopmerkingChar">
    <w:name w:val="Tekst opmerking Char"/>
    <w:basedOn w:val="Standaardalinea-lettertype"/>
    <w:link w:val="Tekstopmerking"/>
    <w:uiPriority w:val="99"/>
    <w:rsid w:val="005F56B5"/>
    <w:rPr>
      <w:sz w:val="20"/>
      <w:szCs w:val="20"/>
    </w:rPr>
  </w:style>
  <w:style w:type="paragraph" w:styleId="Onderwerpvanopmerking">
    <w:name w:val="annotation subject"/>
    <w:basedOn w:val="Tekstopmerking"/>
    <w:next w:val="Tekstopmerking"/>
    <w:link w:val="OnderwerpvanopmerkingChar"/>
    <w:uiPriority w:val="99"/>
    <w:semiHidden/>
    <w:unhideWhenUsed/>
    <w:rsid w:val="005F56B5"/>
    <w:rPr>
      <w:b/>
      <w:bCs/>
    </w:rPr>
  </w:style>
  <w:style w:type="character" w:customStyle="1" w:styleId="OnderwerpvanopmerkingChar">
    <w:name w:val="Onderwerp van opmerking Char"/>
    <w:basedOn w:val="TekstopmerkingChar"/>
    <w:link w:val="Onderwerpvanopmerking"/>
    <w:uiPriority w:val="99"/>
    <w:semiHidden/>
    <w:rsid w:val="005F56B5"/>
    <w:rPr>
      <w:b/>
      <w:bCs/>
      <w:sz w:val="20"/>
      <w:szCs w:val="20"/>
    </w:rPr>
  </w:style>
  <w:style w:type="paragraph" w:styleId="Geenafstand">
    <w:name w:val="No Spacing"/>
    <w:uiPriority w:val="1"/>
    <w:qFormat/>
    <w:rsid w:val="007F7B9F"/>
    <w:rPr>
      <w:rFonts w:ascii="Myriad Pro" w:eastAsia="Times New Roman" w:hAnsi="Myriad Pro" w:cs="Times New Roman"/>
      <w:kern w:val="0"/>
      <w:sz w:val="20"/>
      <w:szCs w:val="20"/>
      <w:lang w:eastAsia="nl-NL"/>
      <w14:ligatures w14:val="none"/>
    </w:rPr>
  </w:style>
  <w:style w:type="character" w:styleId="Hyperlink">
    <w:name w:val="Hyperlink"/>
    <w:basedOn w:val="Standaardalinea-lettertype"/>
    <w:uiPriority w:val="99"/>
    <w:unhideWhenUsed/>
    <w:rsid w:val="007F7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murli@iss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13F82662BFD49B4C2E5348078B7B2" ma:contentTypeVersion="15" ma:contentTypeDescription="Een nieuw document maken." ma:contentTypeScope="" ma:versionID="9bdc6bef3e74ae87eb8678e1243bcebd">
  <xsd:schema xmlns:xsd="http://www.w3.org/2001/XMLSchema" xmlns:xs="http://www.w3.org/2001/XMLSchema" xmlns:p="http://schemas.microsoft.com/office/2006/metadata/properties" xmlns:ns2="831c4ba2-e968-4490-a443-7009c5763180" xmlns:ns3="6342a785-db13-4adb-a636-2d3f60b4d9f3" targetNamespace="http://schemas.microsoft.com/office/2006/metadata/properties" ma:root="true" ma:fieldsID="b59158829a92433e10b0b711184678ab" ns2:_="" ns3:_="">
    <xsd:import namespace="831c4ba2-e968-4490-a443-7009c5763180"/>
    <xsd:import namespace="6342a785-db13-4adb-a636-2d3f60b4d9f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4ba2-e968-4490-a443-7009c576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3fa1bf-5192-490f-ae97-99b4fa206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2a785-db13-4adb-a636-2d3f60b4d9f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8a3bb-7274-4169-b300-72c666912dcb}" ma:internalName="TaxCatchAll" ma:showField="CatchAllData" ma:web="6342a785-db13-4adb-a636-2d3f60b4d9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1c4ba2-e968-4490-a443-7009c5763180">
      <Terms xmlns="http://schemas.microsoft.com/office/infopath/2007/PartnerControls"/>
    </lcf76f155ced4ddcb4097134ff3c332f>
    <TaxCatchAll xmlns="6342a785-db13-4adb-a636-2d3f60b4d9f3" xsi:nil="true"/>
  </documentManagement>
</p:properties>
</file>

<file path=customXml/itemProps1.xml><?xml version="1.0" encoding="utf-8"?>
<ds:datastoreItem xmlns:ds="http://schemas.openxmlformats.org/officeDocument/2006/customXml" ds:itemID="{932A1359-6A3C-4466-8CBE-4433F3B50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4ba2-e968-4490-a443-7009c5763180"/>
    <ds:schemaRef ds:uri="6342a785-db13-4adb-a636-2d3f60b4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19015-FE06-4DBC-9220-843E5207640D}">
  <ds:schemaRefs>
    <ds:schemaRef ds:uri="http://schemas.microsoft.com/sharepoint/v3/contenttype/forms"/>
  </ds:schemaRefs>
</ds:datastoreItem>
</file>

<file path=customXml/itemProps3.xml><?xml version="1.0" encoding="utf-8"?>
<ds:datastoreItem xmlns:ds="http://schemas.openxmlformats.org/officeDocument/2006/customXml" ds:itemID="{A7106D22-9EDD-4B44-86B0-E240BCC80545}">
  <ds:schemaRefs>
    <ds:schemaRef ds:uri="http://schemas.microsoft.com/office/2006/metadata/properties"/>
    <ds:schemaRef ds:uri="http://schemas.microsoft.com/office/infopath/2007/PartnerControls"/>
    <ds:schemaRef ds:uri="831c4ba2-e968-4490-a443-7009c5763180"/>
    <ds:schemaRef ds:uri="6342a785-db13-4adb-a636-2d3f60b4d9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2023-12-18T15:57:00Z</dcterms:created>
  <dcterms:modified xsi:type="dcterms:W3CDTF">2023-12-18T15:57:00Z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0x01010014513F82662BFD49B4C2E5348078B7B2</vt:lpwstr>
  </property>
</Properties>
</file>