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48E7" w14:textId="31D1299B" w:rsidR="00421BC3" w:rsidRPr="002E400E" w:rsidRDefault="002E400E" w:rsidP="002E400E">
      <w:pPr>
        <w:jc w:val="center"/>
        <w:rPr>
          <w:rFonts w:ascii="Calibri" w:hAnsi="Calibri" w:cs="Calibri"/>
          <w:color w:val="000000"/>
          <w:sz w:val="22"/>
          <w:szCs w:val="22"/>
          <w:lang w:val="en-US"/>
        </w:rPr>
      </w:pPr>
      <w:r w:rsidRPr="002E400E">
        <w:rPr>
          <w:rFonts w:ascii="Calibri" w:hAnsi="Calibri" w:cs="Calibri"/>
          <w:color w:val="000000"/>
          <w:sz w:val="22"/>
          <w:szCs w:val="22"/>
          <w:lang w:val="en-US"/>
        </w:rPr>
        <w:t>P E R S B E R I C H</w:t>
      </w:r>
      <w:r>
        <w:rPr>
          <w:rFonts w:ascii="Calibri" w:hAnsi="Calibri" w:cs="Calibri"/>
          <w:color w:val="000000"/>
          <w:sz w:val="22"/>
          <w:szCs w:val="22"/>
          <w:lang w:val="en-US"/>
        </w:rPr>
        <w:t xml:space="preserve"> T</w:t>
      </w:r>
    </w:p>
    <w:p w14:paraId="2474575F" w14:textId="77777777" w:rsidR="00421BC3" w:rsidRPr="002E400E" w:rsidRDefault="00421BC3" w:rsidP="002E400E">
      <w:pPr>
        <w:jc w:val="center"/>
        <w:rPr>
          <w:rFonts w:ascii="Calibri" w:hAnsi="Calibri" w:cs="Calibri"/>
          <w:b/>
          <w:bCs/>
          <w:color w:val="000000"/>
          <w:sz w:val="22"/>
          <w:szCs w:val="22"/>
          <w:lang w:val="en-US"/>
        </w:rPr>
      </w:pPr>
    </w:p>
    <w:p w14:paraId="169C5961" w14:textId="062A668A" w:rsidR="006250C0" w:rsidRPr="007B6EFD" w:rsidRDefault="00421BC3">
      <w:pPr>
        <w:rPr>
          <w:rFonts w:ascii="Calibri" w:hAnsi="Calibri" w:cs="Calibri"/>
          <w:b/>
          <w:bCs/>
          <w:color w:val="000000"/>
          <w:sz w:val="28"/>
          <w:szCs w:val="28"/>
        </w:rPr>
      </w:pPr>
      <w:r w:rsidRPr="007B6EFD">
        <w:rPr>
          <w:rFonts w:ascii="Calibri" w:hAnsi="Calibri" w:cs="Calibri"/>
          <w:b/>
          <w:bCs/>
          <w:color w:val="000000"/>
          <w:sz w:val="28"/>
          <w:szCs w:val="28"/>
        </w:rPr>
        <w:t>R</w:t>
      </w:r>
      <w:r w:rsidR="006250C0" w:rsidRPr="007B6EFD">
        <w:rPr>
          <w:rFonts w:ascii="Calibri" w:hAnsi="Calibri" w:cs="Calibri"/>
          <w:b/>
          <w:bCs/>
          <w:color w:val="000000"/>
          <w:sz w:val="28"/>
          <w:szCs w:val="28"/>
        </w:rPr>
        <w:t>ekentool Losmaakbaarheid</w:t>
      </w:r>
      <w:r w:rsidRPr="007B6EFD">
        <w:rPr>
          <w:rFonts w:ascii="Calibri" w:hAnsi="Calibri" w:cs="Calibri"/>
          <w:b/>
          <w:bCs/>
          <w:color w:val="000000"/>
          <w:sz w:val="28"/>
          <w:szCs w:val="28"/>
        </w:rPr>
        <w:t xml:space="preserve"> is hulpmiddel voor meer circulariteit</w:t>
      </w:r>
    </w:p>
    <w:p w14:paraId="18965B2D" w14:textId="77777777" w:rsidR="006250C0" w:rsidRPr="007B6EFD" w:rsidRDefault="006250C0">
      <w:pPr>
        <w:rPr>
          <w:rFonts w:ascii="Calibri" w:hAnsi="Calibri" w:cs="Calibri"/>
          <w:b/>
          <w:bCs/>
          <w:color w:val="000000"/>
        </w:rPr>
      </w:pPr>
    </w:p>
    <w:p w14:paraId="012BBD79" w14:textId="4035DDCD" w:rsidR="006250C0" w:rsidRPr="007B6EFD" w:rsidRDefault="00421BC3">
      <w:pPr>
        <w:rPr>
          <w:rFonts w:ascii="Calibri" w:hAnsi="Calibri" w:cs="Calibri"/>
          <w:b/>
          <w:bCs/>
          <w:color w:val="000000"/>
        </w:rPr>
      </w:pPr>
      <w:r w:rsidRPr="007B6EFD">
        <w:rPr>
          <w:rFonts w:ascii="Calibri" w:hAnsi="Calibri" w:cs="Calibri"/>
          <w:b/>
          <w:bCs/>
          <w:color w:val="000000"/>
        </w:rPr>
        <w:t xml:space="preserve">Met de </w:t>
      </w:r>
      <w:r w:rsidR="00715395" w:rsidRPr="007B6EFD">
        <w:rPr>
          <w:rFonts w:ascii="Calibri" w:hAnsi="Calibri" w:cs="Calibri"/>
          <w:b/>
          <w:bCs/>
          <w:color w:val="000000"/>
        </w:rPr>
        <w:t>R</w:t>
      </w:r>
      <w:r w:rsidRPr="007B6EFD">
        <w:rPr>
          <w:rFonts w:ascii="Calibri" w:hAnsi="Calibri" w:cs="Calibri"/>
          <w:b/>
          <w:bCs/>
          <w:color w:val="000000"/>
        </w:rPr>
        <w:t xml:space="preserve">ekentool Losmaakbaarheid </w:t>
      </w:r>
      <w:r w:rsidR="00715395" w:rsidRPr="007B6EFD">
        <w:rPr>
          <w:rFonts w:ascii="Calibri" w:hAnsi="Calibri" w:cs="Calibri"/>
          <w:b/>
          <w:bCs/>
          <w:color w:val="000000"/>
        </w:rPr>
        <w:t xml:space="preserve">heeft de markt een handig middel om de losmaakbaarheid </w:t>
      </w:r>
      <w:r w:rsidR="00EC0769">
        <w:rPr>
          <w:rFonts w:ascii="Calibri" w:hAnsi="Calibri" w:cs="Calibri"/>
          <w:b/>
          <w:bCs/>
          <w:color w:val="000000"/>
        </w:rPr>
        <w:t xml:space="preserve">van verbindingen in een constructiedetail </w:t>
      </w:r>
      <w:r w:rsidR="00715395" w:rsidRPr="007B6EFD">
        <w:rPr>
          <w:rFonts w:ascii="Calibri" w:hAnsi="Calibri" w:cs="Calibri"/>
          <w:b/>
          <w:bCs/>
          <w:color w:val="000000"/>
        </w:rPr>
        <w:t xml:space="preserve">per bouwelement te bepalen. De tool </w:t>
      </w:r>
      <w:r w:rsidR="006250C0" w:rsidRPr="007B6EFD">
        <w:rPr>
          <w:rFonts w:ascii="Calibri" w:hAnsi="Calibri" w:cs="Calibri"/>
          <w:b/>
          <w:bCs/>
          <w:color w:val="000000"/>
        </w:rPr>
        <w:t xml:space="preserve">is gekoppeld </w:t>
      </w:r>
      <w:r w:rsidR="00715395" w:rsidRPr="007B6EFD">
        <w:rPr>
          <w:rFonts w:ascii="Calibri" w:hAnsi="Calibri" w:cs="Calibri"/>
          <w:b/>
          <w:bCs/>
          <w:color w:val="000000"/>
        </w:rPr>
        <w:t>aan</w:t>
      </w:r>
      <w:r w:rsidR="006250C0" w:rsidRPr="007B6EFD">
        <w:rPr>
          <w:rFonts w:ascii="Calibri" w:hAnsi="Calibri" w:cs="Calibri"/>
          <w:b/>
          <w:bCs/>
          <w:color w:val="000000"/>
        </w:rPr>
        <w:t xml:space="preserve"> het</w:t>
      </w:r>
      <w:r w:rsidR="006250C0" w:rsidRPr="007B6EFD">
        <w:rPr>
          <w:rStyle w:val="apple-converted-space"/>
          <w:rFonts w:ascii="Calibri" w:hAnsi="Calibri" w:cs="Calibri"/>
          <w:b/>
          <w:bCs/>
          <w:color w:val="000000"/>
        </w:rPr>
        <w:t> </w:t>
      </w:r>
      <w:hyperlink r:id="rId7" w:history="1">
        <w:r w:rsidR="006250C0" w:rsidRPr="007B6EFD">
          <w:rPr>
            <w:rStyle w:val="Hyperlink"/>
            <w:rFonts w:ascii="Calibri" w:hAnsi="Calibri" w:cs="Calibri"/>
            <w:b/>
            <w:bCs/>
            <w:color w:val="0563C1"/>
          </w:rPr>
          <w:t>rapport Circulariteit in Referentiedetails</w:t>
        </w:r>
      </w:hyperlink>
      <w:r w:rsidR="00715395" w:rsidRPr="007B6EFD">
        <w:rPr>
          <w:rFonts w:ascii="Calibri" w:hAnsi="Calibri" w:cs="Calibri"/>
          <w:b/>
          <w:bCs/>
          <w:color w:val="000000"/>
        </w:rPr>
        <w:t xml:space="preserve">. Met de tool krijgt de </w:t>
      </w:r>
      <w:r w:rsidR="00881C5E">
        <w:rPr>
          <w:rFonts w:ascii="Calibri" w:hAnsi="Calibri" w:cs="Calibri"/>
          <w:b/>
          <w:bCs/>
          <w:color w:val="000000"/>
        </w:rPr>
        <w:t xml:space="preserve">professional </w:t>
      </w:r>
      <w:r w:rsidR="00715395" w:rsidRPr="007B6EFD">
        <w:rPr>
          <w:rFonts w:ascii="Calibri" w:hAnsi="Calibri" w:cs="Calibri"/>
          <w:b/>
          <w:bCs/>
          <w:color w:val="000000"/>
        </w:rPr>
        <w:t xml:space="preserve">voor elk element dat </w:t>
      </w:r>
      <w:r w:rsidR="00881C5E">
        <w:rPr>
          <w:rFonts w:ascii="Calibri" w:hAnsi="Calibri" w:cs="Calibri"/>
          <w:b/>
          <w:bCs/>
          <w:color w:val="000000"/>
        </w:rPr>
        <w:t>wordt ingevoerd</w:t>
      </w:r>
      <w:r w:rsidR="00715395" w:rsidRPr="007B6EFD">
        <w:rPr>
          <w:rFonts w:ascii="Calibri" w:hAnsi="Calibri" w:cs="Calibri"/>
          <w:b/>
          <w:bCs/>
          <w:color w:val="000000"/>
        </w:rPr>
        <w:t xml:space="preserve"> een </w:t>
      </w:r>
      <w:r w:rsidR="00EC0769">
        <w:rPr>
          <w:rFonts w:ascii="Calibri" w:hAnsi="Calibri" w:cs="Calibri"/>
          <w:b/>
          <w:bCs/>
          <w:color w:val="000000"/>
        </w:rPr>
        <w:t>score</w:t>
      </w:r>
      <w:r w:rsidR="00EC0769" w:rsidRPr="007B6EFD">
        <w:rPr>
          <w:rFonts w:ascii="Calibri" w:hAnsi="Calibri" w:cs="Calibri"/>
          <w:b/>
          <w:bCs/>
          <w:color w:val="000000"/>
        </w:rPr>
        <w:t xml:space="preserve"> </w:t>
      </w:r>
      <w:r w:rsidR="00715395" w:rsidRPr="007B6EFD">
        <w:rPr>
          <w:rFonts w:ascii="Calibri" w:hAnsi="Calibri" w:cs="Calibri"/>
          <w:b/>
          <w:bCs/>
          <w:color w:val="000000"/>
        </w:rPr>
        <w:t xml:space="preserve">tussen 1 en 0,1. Hoe hoger het getal, hoe eenvoudiger het bouwelement </w:t>
      </w:r>
      <w:r w:rsidR="00EC0769">
        <w:rPr>
          <w:rFonts w:ascii="Calibri" w:hAnsi="Calibri" w:cs="Calibri"/>
          <w:b/>
          <w:bCs/>
          <w:color w:val="000000"/>
        </w:rPr>
        <w:t>te demonteren</w:t>
      </w:r>
      <w:r w:rsidR="00EC0769" w:rsidRPr="007B6EFD">
        <w:rPr>
          <w:rFonts w:ascii="Calibri" w:hAnsi="Calibri" w:cs="Calibri"/>
          <w:b/>
          <w:bCs/>
          <w:color w:val="000000"/>
        </w:rPr>
        <w:t xml:space="preserve"> </w:t>
      </w:r>
      <w:r w:rsidR="00715395" w:rsidRPr="007B6EFD">
        <w:rPr>
          <w:rFonts w:ascii="Calibri" w:hAnsi="Calibri" w:cs="Calibri"/>
          <w:b/>
          <w:bCs/>
          <w:color w:val="000000"/>
        </w:rPr>
        <w:t>is.</w:t>
      </w:r>
    </w:p>
    <w:p w14:paraId="42584210" w14:textId="77777777" w:rsidR="00715395" w:rsidRPr="007B6EFD" w:rsidRDefault="00715395">
      <w:pPr>
        <w:rPr>
          <w:rFonts w:ascii="Calibri" w:hAnsi="Calibri" w:cs="Calibri"/>
          <w:color w:val="000000"/>
          <w:sz w:val="22"/>
          <w:szCs w:val="22"/>
        </w:rPr>
      </w:pPr>
    </w:p>
    <w:p w14:paraId="2CD35AD9" w14:textId="5A5C4AB9" w:rsidR="009F77B6" w:rsidRPr="007B6EFD" w:rsidRDefault="00715395">
      <w:pPr>
        <w:rPr>
          <w:rFonts w:ascii="Calibri" w:hAnsi="Calibri" w:cs="Calibri"/>
          <w:color w:val="000000"/>
          <w:sz w:val="22"/>
          <w:szCs w:val="22"/>
        </w:rPr>
      </w:pPr>
      <w:r w:rsidRPr="007B6EFD">
        <w:rPr>
          <w:rFonts w:ascii="Calibri" w:hAnsi="Calibri" w:cs="Calibri"/>
          <w:color w:val="000000"/>
          <w:sz w:val="22"/>
          <w:szCs w:val="22"/>
        </w:rPr>
        <w:t xml:space="preserve">Noort Alders, kennisontwikkelaar bij ISSO, geeft aan dat de rekentool op dit moment werkt </w:t>
      </w:r>
      <w:r w:rsidR="00036273" w:rsidRPr="007B6EFD">
        <w:rPr>
          <w:rFonts w:ascii="Calibri" w:hAnsi="Calibri" w:cs="Calibri"/>
          <w:color w:val="000000"/>
          <w:sz w:val="22"/>
          <w:szCs w:val="22"/>
        </w:rPr>
        <w:t>voor</w:t>
      </w:r>
      <w:r w:rsidRPr="007B6EFD">
        <w:rPr>
          <w:rFonts w:ascii="Calibri" w:hAnsi="Calibri" w:cs="Calibri"/>
          <w:color w:val="000000"/>
          <w:sz w:val="22"/>
          <w:szCs w:val="22"/>
        </w:rPr>
        <w:t xml:space="preserve"> </w:t>
      </w:r>
      <w:r w:rsidR="00EC0769">
        <w:rPr>
          <w:rFonts w:ascii="Calibri" w:hAnsi="Calibri" w:cs="Calibri"/>
          <w:color w:val="000000"/>
          <w:sz w:val="22"/>
          <w:szCs w:val="22"/>
        </w:rPr>
        <w:t>de meeste aansluitingen, zoals schroefverbindingen, gelijmde of ingestorte verbindingen</w:t>
      </w:r>
      <w:r w:rsidRPr="007B6EFD">
        <w:rPr>
          <w:rFonts w:ascii="Calibri" w:hAnsi="Calibri" w:cs="Calibri"/>
          <w:color w:val="000000"/>
          <w:sz w:val="22"/>
          <w:szCs w:val="22"/>
        </w:rPr>
        <w:t>. “Per element</w:t>
      </w:r>
      <w:r w:rsidR="001475DF" w:rsidRPr="007B6EFD">
        <w:rPr>
          <w:rFonts w:ascii="Calibri" w:hAnsi="Calibri" w:cs="Calibri"/>
          <w:color w:val="000000"/>
          <w:sz w:val="22"/>
          <w:szCs w:val="22"/>
        </w:rPr>
        <w:t xml:space="preserve"> moet je </w:t>
      </w:r>
      <w:r w:rsidR="001F2384">
        <w:rPr>
          <w:rFonts w:ascii="Calibri" w:hAnsi="Calibri" w:cs="Calibri"/>
          <w:color w:val="000000"/>
          <w:sz w:val="22"/>
          <w:szCs w:val="22"/>
        </w:rPr>
        <w:t>gegevens</w:t>
      </w:r>
      <w:r w:rsidR="001475DF" w:rsidRPr="007B6EFD">
        <w:rPr>
          <w:rFonts w:ascii="Calibri" w:hAnsi="Calibri" w:cs="Calibri"/>
          <w:color w:val="000000"/>
          <w:sz w:val="22"/>
          <w:szCs w:val="22"/>
        </w:rPr>
        <w:t xml:space="preserve"> invoeren. Het gaat om informatie over het type verbindingen, </w:t>
      </w:r>
      <w:r w:rsidR="00066A45" w:rsidRPr="007B6EFD">
        <w:rPr>
          <w:rFonts w:ascii="Calibri" w:hAnsi="Calibri" w:cs="Calibri"/>
          <w:color w:val="000000"/>
          <w:sz w:val="22"/>
          <w:szCs w:val="22"/>
        </w:rPr>
        <w:t xml:space="preserve">het </w:t>
      </w:r>
      <w:r w:rsidR="00EC0769">
        <w:rPr>
          <w:rFonts w:ascii="Calibri" w:hAnsi="Calibri" w:cs="Calibri"/>
          <w:color w:val="000000"/>
          <w:sz w:val="22"/>
          <w:szCs w:val="22"/>
        </w:rPr>
        <w:t xml:space="preserve">element </w:t>
      </w:r>
      <w:r w:rsidR="001475DF" w:rsidRPr="007B6EFD">
        <w:rPr>
          <w:rFonts w:ascii="Calibri" w:hAnsi="Calibri" w:cs="Calibri"/>
          <w:color w:val="000000"/>
          <w:sz w:val="22"/>
          <w:szCs w:val="22"/>
        </w:rPr>
        <w:t xml:space="preserve">waar de elementen aan vastzitten, hoe het vast zit – </w:t>
      </w:r>
      <w:r w:rsidR="00EC0769">
        <w:rPr>
          <w:rFonts w:ascii="Calibri" w:hAnsi="Calibri" w:cs="Calibri"/>
          <w:color w:val="000000"/>
          <w:sz w:val="22"/>
          <w:szCs w:val="22"/>
        </w:rPr>
        <w:t xml:space="preserve">bijvoorbeeld </w:t>
      </w:r>
      <w:r w:rsidR="001475DF" w:rsidRPr="007B6EFD">
        <w:rPr>
          <w:rFonts w:ascii="Calibri" w:hAnsi="Calibri" w:cs="Calibri"/>
          <w:color w:val="000000"/>
          <w:sz w:val="22"/>
          <w:szCs w:val="22"/>
        </w:rPr>
        <w:t xml:space="preserve">met lijm, schroeven of klikverbindingen – en hoe toegankelijk de </w:t>
      </w:r>
      <w:r w:rsidR="00EC0769">
        <w:rPr>
          <w:rFonts w:ascii="Calibri" w:hAnsi="Calibri" w:cs="Calibri"/>
          <w:color w:val="000000"/>
          <w:sz w:val="22"/>
          <w:szCs w:val="22"/>
        </w:rPr>
        <w:t xml:space="preserve">verbindingen </w:t>
      </w:r>
      <w:r w:rsidR="001475DF" w:rsidRPr="007B6EFD">
        <w:rPr>
          <w:rFonts w:ascii="Calibri" w:hAnsi="Calibri" w:cs="Calibri"/>
          <w:color w:val="000000"/>
          <w:sz w:val="22"/>
          <w:szCs w:val="22"/>
        </w:rPr>
        <w:t>zijn. Heb je al die informatie ingevoerd, dan rolt daar een losmaakbaarheidsscore uit.”</w:t>
      </w:r>
    </w:p>
    <w:p w14:paraId="151C6923" w14:textId="77777777" w:rsidR="009F77B6" w:rsidRPr="007B6EFD" w:rsidRDefault="009F77B6">
      <w:pPr>
        <w:rPr>
          <w:rFonts w:ascii="Calibri" w:hAnsi="Calibri" w:cs="Calibri"/>
          <w:color w:val="000000"/>
          <w:sz w:val="22"/>
          <w:szCs w:val="22"/>
        </w:rPr>
      </w:pPr>
    </w:p>
    <w:p w14:paraId="0742DC5B" w14:textId="29491A94" w:rsidR="007B6EFD" w:rsidRPr="007B6EFD" w:rsidRDefault="007B6EFD">
      <w:pPr>
        <w:rPr>
          <w:rFonts w:ascii="Calibri" w:hAnsi="Calibri" w:cs="Calibri"/>
          <w:b/>
          <w:bCs/>
          <w:color w:val="000000"/>
          <w:sz w:val="22"/>
          <w:szCs w:val="22"/>
        </w:rPr>
      </w:pPr>
      <w:r w:rsidRPr="007B6EFD">
        <w:rPr>
          <w:rFonts w:ascii="Calibri" w:hAnsi="Calibri" w:cs="Calibri"/>
          <w:b/>
          <w:bCs/>
          <w:color w:val="000000"/>
          <w:sz w:val="22"/>
          <w:szCs w:val="22"/>
        </w:rPr>
        <w:t>Score in getal en kleur</w:t>
      </w:r>
    </w:p>
    <w:p w14:paraId="30E18F69" w14:textId="3EA69ECD" w:rsidR="00715395" w:rsidRPr="007B6EFD" w:rsidRDefault="009F77B6">
      <w:pPr>
        <w:rPr>
          <w:rFonts w:ascii="Calibri" w:hAnsi="Calibri" w:cs="Calibri"/>
          <w:color w:val="000000"/>
          <w:sz w:val="22"/>
          <w:szCs w:val="22"/>
        </w:rPr>
      </w:pPr>
      <w:r w:rsidRPr="007B6EFD">
        <w:rPr>
          <w:rFonts w:ascii="Calibri" w:hAnsi="Calibri" w:cs="Calibri"/>
          <w:color w:val="000000"/>
          <w:sz w:val="22"/>
          <w:szCs w:val="22"/>
        </w:rPr>
        <w:t xml:space="preserve">De score wordt uitgedrukt in een getal dat varieert tussen 1 en 0,1. Hoe hoger het getal, hoe beter de losmaakbaarheid. Daarnaast zal de score ook in </w:t>
      </w:r>
      <w:r w:rsidR="00B03D1D">
        <w:rPr>
          <w:rFonts w:ascii="Calibri" w:hAnsi="Calibri" w:cs="Calibri"/>
          <w:color w:val="000000"/>
          <w:sz w:val="22"/>
          <w:szCs w:val="22"/>
        </w:rPr>
        <w:t xml:space="preserve">een </w:t>
      </w:r>
      <w:r w:rsidRPr="007B6EFD">
        <w:rPr>
          <w:rFonts w:ascii="Calibri" w:hAnsi="Calibri" w:cs="Calibri"/>
          <w:color w:val="000000"/>
          <w:sz w:val="22"/>
          <w:szCs w:val="22"/>
        </w:rPr>
        <w:t xml:space="preserve">kleur worden uitgedrukt, die varieert van groen, voor zeer goed losmaakbaar, tot paars als het niet of heel slecht los te maken </w:t>
      </w:r>
      <w:r w:rsidR="00066A45" w:rsidRPr="007B6EFD">
        <w:rPr>
          <w:rFonts w:ascii="Calibri" w:hAnsi="Calibri" w:cs="Calibri"/>
          <w:color w:val="000000"/>
          <w:sz w:val="22"/>
          <w:szCs w:val="22"/>
        </w:rPr>
        <w:t>is</w:t>
      </w:r>
      <w:r w:rsidRPr="007B6EFD">
        <w:rPr>
          <w:rFonts w:ascii="Calibri" w:hAnsi="Calibri" w:cs="Calibri"/>
          <w:color w:val="000000"/>
          <w:sz w:val="22"/>
          <w:szCs w:val="22"/>
        </w:rPr>
        <w:t>. Tussen groen en paars zitten dan nog de nuances geel, oranje en rood.</w:t>
      </w:r>
      <w:r w:rsidR="001475DF" w:rsidRPr="007B6EFD">
        <w:rPr>
          <w:rFonts w:ascii="Calibri" w:hAnsi="Calibri" w:cs="Calibri"/>
          <w:color w:val="000000"/>
          <w:sz w:val="22"/>
          <w:szCs w:val="22"/>
        </w:rPr>
        <w:t xml:space="preserve"> </w:t>
      </w:r>
      <w:r w:rsidR="00066A45" w:rsidRPr="007B6EFD">
        <w:rPr>
          <w:rFonts w:ascii="Calibri" w:hAnsi="Calibri" w:cs="Calibri"/>
          <w:color w:val="000000"/>
          <w:sz w:val="22"/>
          <w:szCs w:val="22"/>
        </w:rPr>
        <w:t xml:space="preserve">Als basis voor de bepalingsmethode voor losmaakbaarheid </w:t>
      </w:r>
      <w:r w:rsidR="007B6EFD" w:rsidRPr="007B6EFD">
        <w:rPr>
          <w:rFonts w:ascii="Calibri" w:hAnsi="Calibri" w:cs="Calibri"/>
          <w:color w:val="000000"/>
          <w:sz w:val="22"/>
          <w:szCs w:val="22"/>
        </w:rPr>
        <w:t>gebruikt ISSO</w:t>
      </w:r>
      <w:r w:rsidR="00066A45" w:rsidRPr="007B6EFD">
        <w:rPr>
          <w:rFonts w:ascii="Calibri" w:hAnsi="Calibri" w:cs="Calibri"/>
          <w:color w:val="000000"/>
          <w:sz w:val="22"/>
          <w:szCs w:val="22"/>
        </w:rPr>
        <w:t xml:space="preserve"> de meetmethodiek die Alba Concepts samen met DGBC en W/E adviseurs heeft ontwikkeld in opdracht van het Ministerie van Binnenlandse Zaken en de Transitieagenda Circulaire Bouweconomie. Op het moment van ontwikkelen van de prestatielayers was dit de enige breed gedragen meetmethode voor losmaakbaarheid en demontage. </w:t>
      </w:r>
    </w:p>
    <w:p w14:paraId="4F21558E" w14:textId="77777777" w:rsidR="009F77B6" w:rsidRPr="007B6EFD" w:rsidRDefault="009F77B6">
      <w:pPr>
        <w:rPr>
          <w:rFonts w:ascii="Calibri" w:hAnsi="Calibri" w:cs="Calibri"/>
          <w:color w:val="000000"/>
          <w:sz w:val="22"/>
          <w:szCs w:val="22"/>
        </w:rPr>
      </w:pPr>
    </w:p>
    <w:p w14:paraId="01EE22F1" w14:textId="0EE60DF4" w:rsidR="00066A45" w:rsidRPr="007B6EFD" w:rsidRDefault="007B6EFD">
      <w:pPr>
        <w:rPr>
          <w:rFonts w:ascii="Calibri" w:hAnsi="Calibri" w:cs="Calibri"/>
          <w:b/>
          <w:bCs/>
          <w:color w:val="000000"/>
          <w:sz w:val="22"/>
          <w:szCs w:val="22"/>
        </w:rPr>
      </w:pPr>
      <w:r w:rsidRPr="007B6EFD">
        <w:rPr>
          <w:rFonts w:ascii="Calibri" w:hAnsi="Calibri" w:cs="Calibri"/>
          <w:b/>
          <w:bCs/>
          <w:color w:val="000000"/>
          <w:sz w:val="22"/>
          <w:szCs w:val="22"/>
        </w:rPr>
        <w:t>Meer inzicht bieden</w:t>
      </w:r>
    </w:p>
    <w:p w14:paraId="2DA3D4CD" w14:textId="4ABBB343" w:rsidR="009F77B6" w:rsidRPr="007B6EFD" w:rsidRDefault="009F77B6">
      <w:pPr>
        <w:rPr>
          <w:rFonts w:ascii="Calibri" w:hAnsi="Calibri" w:cs="Calibri"/>
          <w:color w:val="000000"/>
          <w:sz w:val="22"/>
          <w:szCs w:val="22"/>
        </w:rPr>
      </w:pPr>
      <w:r w:rsidRPr="007B6EFD">
        <w:rPr>
          <w:rFonts w:ascii="Calibri" w:hAnsi="Calibri" w:cs="Calibri"/>
          <w:color w:val="000000"/>
          <w:sz w:val="22"/>
          <w:szCs w:val="22"/>
        </w:rPr>
        <w:t xml:space="preserve">“In </w:t>
      </w:r>
      <w:r w:rsidR="00066A45" w:rsidRPr="007B6EFD">
        <w:rPr>
          <w:rFonts w:ascii="Calibri" w:hAnsi="Calibri" w:cs="Calibri"/>
          <w:color w:val="000000"/>
          <w:sz w:val="22"/>
          <w:szCs w:val="22"/>
        </w:rPr>
        <w:t>het</w:t>
      </w:r>
      <w:r w:rsidRPr="007B6EFD">
        <w:rPr>
          <w:rFonts w:ascii="Calibri" w:hAnsi="Calibri" w:cs="Calibri"/>
          <w:color w:val="000000"/>
          <w:sz w:val="22"/>
          <w:szCs w:val="22"/>
        </w:rPr>
        <w:t xml:space="preserve"> streven</w:t>
      </w:r>
      <w:r w:rsidR="00066A45" w:rsidRPr="007B6EFD">
        <w:rPr>
          <w:rFonts w:ascii="Calibri" w:hAnsi="Calibri" w:cs="Calibri"/>
          <w:color w:val="000000"/>
          <w:sz w:val="22"/>
          <w:szCs w:val="22"/>
        </w:rPr>
        <w:t xml:space="preserve"> binnen de bouwwereld</w:t>
      </w:r>
      <w:r w:rsidRPr="007B6EFD">
        <w:rPr>
          <w:rFonts w:ascii="Calibri" w:hAnsi="Calibri" w:cs="Calibri"/>
          <w:color w:val="000000"/>
          <w:sz w:val="22"/>
          <w:szCs w:val="22"/>
        </w:rPr>
        <w:t xml:space="preserve"> naar meer circulariteit en hergebruik van materialen speelt de losmaakbaarheid een belangrijke rol. Deze rekentool </w:t>
      </w:r>
      <w:r w:rsidR="001F2384">
        <w:rPr>
          <w:rFonts w:ascii="Calibri" w:hAnsi="Calibri" w:cs="Calibri"/>
          <w:color w:val="000000"/>
          <w:sz w:val="22"/>
          <w:szCs w:val="22"/>
        </w:rPr>
        <w:t>helpt</w:t>
      </w:r>
      <w:r w:rsidRPr="007B6EFD">
        <w:rPr>
          <w:rFonts w:ascii="Calibri" w:hAnsi="Calibri" w:cs="Calibri"/>
          <w:color w:val="000000"/>
          <w:sz w:val="22"/>
          <w:szCs w:val="22"/>
        </w:rPr>
        <w:t xml:space="preserve"> meer inzicht te krijgen</w:t>
      </w:r>
      <w:r w:rsidR="00066A45" w:rsidRPr="007B6EFD">
        <w:rPr>
          <w:rFonts w:ascii="Calibri" w:hAnsi="Calibri" w:cs="Calibri"/>
          <w:color w:val="000000"/>
          <w:sz w:val="22"/>
          <w:szCs w:val="22"/>
        </w:rPr>
        <w:t xml:space="preserve">. Enerzijds om te weten of de bouwdetails die een partij gebruikt goed scoren, maar anderzijds ook als ontwerptool. </w:t>
      </w:r>
      <w:r w:rsidR="00EC0769">
        <w:rPr>
          <w:rFonts w:ascii="Calibri" w:hAnsi="Calibri" w:cs="Calibri"/>
          <w:color w:val="000000"/>
          <w:sz w:val="22"/>
          <w:szCs w:val="22"/>
        </w:rPr>
        <w:t>Van d</w:t>
      </w:r>
      <w:r w:rsidR="007B6EFD" w:rsidRPr="007B6EFD">
        <w:rPr>
          <w:rFonts w:ascii="Calibri" w:hAnsi="Calibri" w:cs="Calibri"/>
          <w:color w:val="000000"/>
          <w:sz w:val="22"/>
          <w:szCs w:val="22"/>
        </w:rPr>
        <w:t xml:space="preserve">e meetmethode van Alba </w:t>
      </w:r>
      <w:proofErr w:type="spellStart"/>
      <w:r w:rsidR="007B6EFD" w:rsidRPr="007B6EFD">
        <w:rPr>
          <w:rFonts w:ascii="Calibri" w:hAnsi="Calibri" w:cs="Calibri"/>
          <w:color w:val="000000"/>
          <w:sz w:val="22"/>
          <w:szCs w:val="22"/>
        </w:rPr>
        <w:t>Concepts</w:t>
      </w:r>
      <w:proofErr w:type="spellEnd"/>
      <w:r w:rsidR="007B6EFD" w:rsidRPr="007B6EFD">
        <w:rPr>
          <w:rFonts w:ascii="Calibri" w:hAnsi="Calibri" w:cs="Calibri"/>
          <w:color w:val="000000"/>
          <w:sz w:val="22"/>
          <w:szCs w:val="22"/>
        </w:rPr>
        <w:t xml:space="preserve"> </w:t>
      </w:r>
      <w:r w:rsidR="00EC0769">
        <w:rPr>
          <w:rFonts w:ascii="Calibri" w:hAnsi="Calibri" w:cs="Calibri"/>
          <w:color w:val="000000"/>
          <w:sz w:val="22"/>
          <w:szCs w:val="22"/>
        </w:rPr>
        <w:t>zijn twee van de</w:t>
      </w:r>
      <w:r w:rsidR="007B6EFD" w:rsidRPr="007B6EFD">
        <w:rPr>
          <w:rFonts w:ascii="Calibri" w:hAnsi="Calibri" w:cs="Calibri"/>
          <w:color w:val="000000"/>
          <w:sz w:val="22"/>
          <w:szCs w:val="22"/>
        </w:rPr>
        <w:t xml:space="preserve"> vier factoren</w:t>
      </w:r>
      <w:r w:rsidR="00EC0769">
        <w:rPr>
          <w:rFonts w:ascii="Calibri" w:hAnsi="Calibri" w:cs="Calibri"/>
          <w:color w:val="000000"/>
          <w:sz w:val="22"/>
          <w:szCs w:val="22"/>
        </w:rPr>
        <w:t xml:space="preserve"> voor losmaakbaarheid gebruikt</w:t>
      </w:r>
      <w:r w:rsidR="00DA337A">
        <w:rPr>
          <w:rFonts w:ascii="Calibri" w:hAnsi="Calibri" w:cs="Calibri"/>
          <w:color w:val="000000"/>
          <w:sz w:val="22"/>
          <w:szCs w:val="22"/>
        </w:rPr>
        <w:t xml:space="preserve"> om </w:t>
      </w:r>
      <w:r w:rsidR="00EC0769">
        <w:rPr>
          <w:rFonts w:ascii="Calibri" w:hAnsi="Calibri" w:cs="Calibri"/>
          <w:color w:val="000000"/>
          <w:sz w:val="22"/>
          <w:szCs w:val="22"/>
        </w:rPr>
        <w:t>inzicht</w:t>
      </w:r>
      <w:r w:rsidR="00DA337A">
        <w:rPr>
          <w:rFonts w:ascii="Calibri" w:hAnsi="Calibri" w:cs="Calibri"/>
          <w:color w:val="000000"/>
          <w:sz w:val="22"/>
          <w:szCs w:val="22"/>
        </w:rPr>
        <w:t xml:space="preserve"> te geven</w:t>
      </w:r>
      <w:r w:rsidR="00EC0769">
        <w:rPr>
          <w:rFonts w:ascii="Calibri" w:hAnsi="Calibri" w:cs="Calibri"/>
          <w:color w:val="000000"/>
          <w:sz w:val="22"/>
          <w:szCs w:val="22"/>
        </w:rPr>
        <w:t xml:space="preserve"> in een constructiedetail</w:t>
      </w:r>
      <w:r w:rsidR="007B6EFD" w:rsidRPr="007B6EFD">
        <w:rPr>
          <w:rFonts w:ascii="Calibri" w:hAnsi="Calibri" w:cs="Calibri"/>
          <w:color w:val="000000"/>
          <w:sz w:val="22"/>
          <w:szCs w:val="22"/>
        </w:rPr>
        <w:t>: type verbinding (TV), toegankelijkheid van de verbinding (</w:t>
      </w:r>
      <w:proofErr w:type="spellStart"/>
      <w:r w:rsidR="007B6EFD" w:rsidRPr="007B6EFD">
        <w:rPr>
          <w:rFonts w:ascii="Calibri" w:hAnsi="Calibri" w:cs="Calibri"/>
          <w:color w:val="000000"/>
          <w:sz w:val="22"/>
          <w:szCs w:val="22"/>
        </w:rPr>
        <w:t>ToV</w:t>
      </w:r>
      <w:proofErr w:type="spellEnd"/>
      <w:r w:rsidR="00EC0769">
        <w:rPr>
          <w:rFonts w:ascii="Calibri" w:hAnsi="Calibri" w:cs="Calibri"/>
          <w:color w:val="000000"/>
          <w:sz w:val="22"/>
          <w:szCs w:val="22"/>
        </w:rPr>
        <w:t>)</w:t>
      </w:r>
      <w:r w:rsidR="007B6EFD" w:rsidRPr="007B6EFD">
        <w:rPr>
          <w:rFonts w:ascii="Calibri" w:hAnsi="Calibri" w:cs="Calibri"/>
          <w:color w:val="000000"/>
          <w:sz w:val="22"/>
          <w:szCs w:val="22"/>
        </w:rPr>
        <w:t xml:space="preserve">. </w:t>
      </w:r>
      <w:r w:rsidR="00066A45" w:rsidRPr="007B6EFD">
        <w:rPr>
          <w:rFonts w:ascii="Calibri" w:hAnsi="Calibri" w:cs="Calibri"/>
          <w:color w:val="000000"/>
          <w:sz w:val="22"/>
          <w:szCs w:val="22"/>
        </w:rPr>
        <w:t xml:space="preserve">Je kunt hiermee vooraf al bepalen of een </w:t>
      </w:r>
      <w:r w:rsidR="00EC0769">
        <w:rPr>
          <w:rFonts w:ascii="Calibri" w:hAnsi="Calibri" w:cs="Calibri"/>
          <w:color w:val="000000"/>
          <w:sz w:val="22"/>
          <w:szCs w:val="22"/>
        </w:rPr>
        <w:t>verbinding</w:t>
      </w:r>
      <w:r w:rsidR="00EC0769" w:rsidRPr="007B6EFD">
        <w:rPr>
          <w:rFonts w:ascii="Calibri" w:hAnsi="Calibri" w:cs="Calibri"/>
          <w:color w:val="000000"/>
          <w:sz w:val="22"/>
          <w:szCs w:val="22"/>
        </w:rPr>
        <w:t xml:space="preserve"> </w:t>
      </w:r>
      <w:r w:rsidR="00066A45" w:rsidRPr="007B6EFD">
        <w:rPr>
          <w:rFonts w:ascii="Calibri" w:hAnsi="Calibri" w:cs="Calibri"/>
          <w:color w:val="000000"/>
          <w:sz w:val="22"/>
          <w:szCs w:val="22"/>
        </w:rPr>
        <w:t>een positief effect heeft</w:t>
      </w:r>
      <w:r w:rsidR="00EC0769">
        <w:rPr>
          <w:rFonts w:ascii="Calibri" w:hAnsi="Calibri" w:cs="Calibri"/>
          <w:color w:val="000000"/>
          <w:sz w:val="22"/>
          <w:szCs w:val="22"/>
        </w:rPr>
        <w:t xml:space="preserve"> op de losmaakbaarheid</w:t>
      </w:r>
      <w:r w:rsidR="00066A45" w:rsidRPr="007B6EFD">
        <w:rPr>
          <w:rFonts w:ascii="Calibri" w:hAnsi="Calibri" w:cs="Calibri"/>
          <w:color w:val="000000"/>
          <w:sz w:val="22"/>
          <w:szCs w:val="22"/>
        </w:rPr>
        <w:t>, zodra je streeft naar meer circulair bouwen”, vertelt Alders.</w:t>
      </w:r>
      <w:r w:rsidR="00EC0769">
        <w:rPr>
          <w:rFonts w:ascii="Calibri" w:hAnsi="Calibri" w:cs="Calibri"/>
          <w:color w:val="000000"/>
          <w:sz w:val="22"/>
          <w:szCs w:val="22"/>
        </w:rPr>
        <w:t xml:space="preserve"> Verder kan je de </w:t>
      </w:r>
      <w:proofErr w:type="spellStart"/>
      <w:r w:rsidR="00EC0769">
        <w:rPr>
          <w:rFonts w:ascii="Calibri" w:hAnsi="Calibri" w:cs="Calibri"/>
          <w:color w:val="000000"/>
          <w:sz w:val="22"/>
          <w:szCs w:val="22"/>
        </w:rPr>
        <w:t>prestatielayer</w:t>
      </w:r>
      <w:proofErr w:type="spellEnd"/>
      <w:r w:rsidR="00EC0769">
        <w:rPr>
          <w:rFonts w:ascii="Calibri" w:hAnsi="Calibri" w:cs="Calibri"/>
          <w:color w:val="000000"/>
          <w:sz w:val="22"/>
          <w:szCs w:val="22"/>
        </w:rPr>
        <w:t xml:space="preserve"> losmaakbaarheid in eenzelfde detail naast de andere bouwfysische </w:t>
      </w:r>
      <w:proofErr w:type="spellStart"/>
      <w:r w:rsidR="00EC0769">
        <w:rPr>
          <w:rFonts w:ascii="Calibri" w:hAnsi="Calibri" w:cs="Calibri"/>
          <w:color w:val="000000"/>
          <w:sz w:val="22"/>
          <w:szCs w:val="22"/>
        </w:rPr>
        <w:t>pres</w:t>
      </w:r>
      <w:r w:rsidR="00DA337A">
        <w:rPr>
          <w:rFonts w:ascii="Calibri" w:hAnsi="Calibri" w:cs="Calibri"/>
          <w:color w:val="000000"/>
          <w:sz w:val="22"/>
          <w:szCs w:val="22"/>
        </w:rPr>
        <w:t>t</w:t>
      </w:r>
      <w:r w:rsidR="00EC0769">
        <w:rPr>
          <w:rFonts w:ascii="Calibri" w:hAnsi="Calibri" w:cs="Calibri"/>
          <w:color w:val="000000"/>
          <w:sz w:val="22"/>
          <w:szCs w:val="22"/>
        </w:rPr>
        <w:t>atielayers</w:t>
      </w:r>
      <w:proofErr w:type="spellEnd"/>
      <w:r w:rsidR="00EC0769">
        <w:rPr>
          <w:rFonts w:ascii="Calibri" w:hAnsi="Calibri" w:cs="Calibri"/>
          <w:color w:val="000000"/>
          <w:sz w:val="22"/>
          <w:szCs w:val="22"/>
        </w:rPr>
        <w:t xml:space="preserve"> </w:t>
      </w:r>
      <w:r w:rsidR="00E126DC">
        <w:rPr>
          <w:rFonts w:ascii="Calibri" w:hAnsi="Calibri" w:cs="Calibri"/>
          <w:color w:val="000000"/>
          <w:sz w:val="22"/>
          <w:szCs w:val="22"/>
        </w:rPr>
        <w:t xml:space="preserve">van de ISSO Referentiedetails </w:t>
      </w:r>
      <w:r w:rsidR="00EC0769">
        <w:rPr>
          <w:rFonts w:ascii="Calibri" w:hAnsi="Calibri" w:cs="Calibri"/>
          <w:color w:val="000000"/>
          <w:sz w:val="22"/>
          <w:szCs w:val="22"/>
        </w:rPr>
        <w:t>(isolatie en koudebruggen, lucht</w:t>
      </w:r>
      <w:r w:rsidR="00E126DC">
        <w:rPr>
          <w:rFonts w:ascii="Calibri" w:hAnsi="Calibri" w:cs="Calibri"/>
          <w:color w:val="000000"/>
          <w:sz w:val="22"/>
          <w:szCs w:val="22"/>
        </w:rPr>
        <w:t>- en damp</w:t>
      </w:r>
      <w:r w:rsidR="00EC0769">
        <w:rPr>
          <w:rFonts w:ascii="Calibri" w:hAnsi="Calibri" w:cs="Calibri"/>
          <w:color w:val="000000"/>
          <w:sz w:val="22"/>
          <w:szCs w:val="22"/>
        </w:rPr>
        <w:t xml:space="preserve">dichtheid, geluidsisolatie, waterdichting en </w:t>
      </w:r>
      <w:r w:rsidR="00E126DC">
        <w:rPr>
          <w:rFonts w:ascii="Calibri" w:hAnsi="Calibri" w:cs="Calibri"/>
          <w:color w:val="000000"/>
          <w:sz w:val="22"/>
          <w:szCs w:val="22"/>
        </w:rPr>
        <w:t>brandwering) leggen</w:t>
      </w:r>
      <w:r w:rsidR="00DA337A">
        <w:rPr>
          <w:rFonts w:ascii="Calibri" w:hAnsi="Calibri" w:cs="Calibri"/>
          <w:color w:val="000000"/>
          <w:sz w:val="22"/>
          <w:szCs w:val="22"/>
        </w:rPr>
        <w:t>. Zo zie je</w:t>
      </w:r>
      <w:r w:rsidR="00E126DC">
        <w:rPr>
          <w:rFonts w:ascii="Calibri" w:hAnsi="Calibri" w:cs="Calibri"/>
          <w:color w:val="000000"/>
          <w:sz w:val="22"/>
          <w:szCs w:val="22"/>
        </w:rPr>
        <w:t xml:space="preserve"> </w:t>
      </w:r>
      <w:r w:rsidR="00DA337A">
        <w:rPr>
          <w:rFonts w:ascii="Calibri" w:hAnsi="Calibri" w:cs="Calibri"/>
          <w:color w:val="000000"/>
          <w:sz w:val="22"/>
          <w:szCs w:val="22"/>
        </w:rPr>
        <w:t xml:space="preserve">direct </w:t>
      </w:r>
      <w:r w:rsidR="00E126DC">
        <w:rPr>
          <w:rFonts w:ascii="Calibri" w:hAnsi="Calibri" w:cs="Calibri"/>
          <w:color w:val="000000"/>
          <w:sz w:val="22"/>
          <w:szCs w:val="22"/>
        </w:rPr>
        <w:t xml:space="preserve">de consequenties </w:t>
      </w:r>
      <w:r w:rsidR="00DA337A">
        <w:rPr>
          <w:rFonts w:ascii="Calibri" w:hAnsi="Calibri" w:cs="Calibri"/>
          <w:color w:val="000000"/>
          <w:sz w:val="22"/>
          <w:szCs w:val="22"/>
        </w:rPr>
        <w:t>van</w:t>
      </w:r>
      <w:r w:rsidR="00E126DC">
        <w:rPr>
          <w:rFonts w:ascii="Calibri" w:hAnsi="Calibri" w:cs="Calibri"/>
          <w:color w:val="000000"/>
          <w:sz w:val="22"/>
          <w:szCs w:val="22"/>
        </w:rPr>
        <w:t xml:space="preserve"> een verbetering van de losmaakbaa</w:t>
      </w:r>
      <w:r w:rsidR="00DA337A">
        <w:rPr>
          <w:rFonts w:ascii="Calibri" w:hAnsi="Calibri" w:cs="Calibri"/>
          <w:color w:val="000000"/>
          <w:sz w:val="22"/>
          <w:szCs w:val="22"/>
        </w:rPr>
        <w:t>r</w:t>
      </w:r>
      <w:r w:rsidR="00E126DC">
        <w:rPr>
          <w:rFonts w:ascii="Calibri" w:hAnsi="Calibri" w:cs="Calibri"/>
          <w:color w:val="000000"/>
          <w:sz w:val="22"/>
          <w:szCs w:val="22"/>
        </w:rPr>
        <w:t>heid op de overige bouwfysische prestaties.</w:t>
      </w:r>
    </w:p>
    <w:p w14:paraId="1F1523F3" w14:textId="77777777" w:rsidR="00066A45" w:rsidRPr="007B6EFD" w:rsidRDefault="00066A45">
      <w:pPr>
        <w:rPr>
          <w:rFonts w:ascii="Calibri" w:hAnsi="Calibri" w:cs="Calibri"/>
          <w:color w:val="000000"/>
          <w:sz w:val="22"/>
          <w:szCs w:val="22"/>
        </w:rPr>
      </w:pPr>
    </w:p>
    <w:p w14:paraId="26EA213E" w14:textId="7F575F4E" w:rsidR="007B6EFD" w:rsidRPr="007B6EFD" w:rsidRDefault="007B6EFD">
      <w:pPr>
        <w:rPr>
          <w:rFonts w:ascii="Calibri" w:hAnsi="Calibri" w:cs="Calibri"/>
          <w:b/>
          <w:bCs/>
          <w:color w:val="000000"/>
          <w:sz w:val="22"/>
          <w:szCs w:val="22"/>
        </w:rPr>
      </w:pPr>
      <w:r w:rsidRPr="007B6EFD">
        <w:rPr>
          <w:rFonts w:ascii="Calibri" w:hAnsi="Calibri" w:cs="Calibri"/>
          <w:b/>
          <w:bCs/>
          <w:color w:val="000000"/>
          <w:sz w:val="22"/>
          <w:szCs w:val="22"/>
        </w:rPr>
        <w:t>Uiteindelijke doelstelling</w:t>
      </w:r>
    </w:p>
    <w:p w14:paraId="0B6FE585" w14:textId="1DD8F359" w:rsidR="007B6EFD" w:rsidRPr="007B6EFD" w:rsidRDefault="00066A45" w:rsidP="007B6EFD">
      <w:pPr>
        <w:rPr>
          <w:rFonts w:ascii="Calibri" w:hAnsi="Calibri" w:cs="Calibri"/>
          <w:color w:val="000000"/>
          <w:sz w:val="22"/>
          <w:szCs w:val="22"/>
        </w:rPr>
      </w:pPr>
      <w:r w:rsidRPr="007B6EFD">
        <w:rPr>
          <w:rFonts w:ascii="Calibri" w:hAnsi="Calibri" w:cs="Calibri"/>
          <w:color w:val="000000"/>
          <w:sz w:val="22"/>
          <w:szCs w:val="22"/>
        </w:rPr>
        <w:t xml:space="preserve">Door de keuze om zowel een berekening met getal te gebruiken, als ook de losmaakbaarheid met kleur te visualiseren, </w:t>
      </w:r>
      <w:r w:rsidR="007B6EFD" w:rsidRPr="007B6EFD">
        <w:rPr>
          <w:rFonts w:ascii="Calibri" w:hAnsi="Calibri" w:cs="Calibri"/>
          <w:color w:val="000000"/>
          <w:sz w:val="22"/>
          <w:szCs w:val="22"/>
        </w:rPr>
        <w:t xml:space="preserve">zorgt ISSO dat </w:t>
      </w:r>
      <w:r w:rsidR="00B64ECE">
        <w:rPr>
          <w:rFonts w:ascii="Calibri" w:hAnsi="Calibri" w:cs="Calibri"/>
          <w:color w:val="000000"/>
          <w:sz w:val="22"/>
          <w:szCs w:val="22"/>
        </w:rPr>
        <w:t>de professional</w:t>
      </w:r>
      <w:r w:rsidR="00B64ECE" w:rsidRPr="007B6EFD">
        <w:rPr>
          <w:rFonts w:ascii="Calibri" w:hAnsi="Calibri" w:cs="Calibri"/>
          <w:color w:val="000000"/>
          <w:sz w:val="22"/>
          <w:szCs w:val="22"/>
        </w:rPr>
        <w:t xml:space="preserve"> </w:t>
      </w:r>
      <w:r w:rsidR="007B6EFD" w:rsidRPr="007B6EFD">
        <w:rPr>
          <w:rFonts w:ascii="Calibri" w:hAnsi="Calibri" w:cs="Calibri"/>
          <w:color w:val="000000"/>
          <w:sz w:val="22"/>
          <w:szCs w:val="22"/>
        </w:rPr>
        <w:t>op een snelle en eenvoudige wijze inzicht krijg</w:t>
      </w:r>
      <w:r w:rsidR="00B03D1D">
        <w:rPr>
          <w:rFonts w:ascii="Calibri" w:hAnsi="Calibri" w:cs="Calibri"/>
          <w:color w:val="000000"/>
          <w:sz w:val="22"/>
          <w:szCs w:val="22"/>
        </w:rPr>
        <w:t>t</w:t>
      </w:r>
      <w:r w:rsidR="007B6EFD" w:rsidRPr="007B6EFD">
        <w:rPr>
          <w:rFonts w:ascii="Calibri" w:hAnsi="Calibri" w:cs="Calibri"/>
          <w:color w:val="000000"/>
          <w:sz w:val="22"/>
          <w:szCs w:val="22"/>
        </w:rPr>
        <w:t xml:space="preserve">. Uiteindelijk </w:t>
      </w:r>
      <w:r w:rsidR="00DA337A">
        <w:rPr>
          <w:rFonts w:ascii="Calibri" w:hAnsi="Calibri" w:cs="Calibri"/>
          <w:color w:val="000000"/>
          <w:sz w:val="22"/>
          <w:szCs w:val="22"/>
        </w:rPr>
        <w:t>biedt dit</w:t>
      </w:r>
      <w:r w:rsidR="007B6EFD" w:rsidRPr="007B6EFD">
        <w:rPr>
          <w:rFonts w:ascii="Calibri" w:hAnsi="Calibri" w:cs="Calibri"/>
          <w:color w:val="000000"/>
          <w:sz w:val="22"/>
          <w:szCs w:val="22"/>
        </w:rPr>
        <w:t xml:space="preserve"> inzicht in een aantal </w:t>
      </w:r>
      <w:r w:rsidR="00EC0769">
        <w:rPr>
          <w:rFonts w:ascii="Calibri" w:hAnsi="Calibri" w:cs="Calibri"/>
          <w:color w:val="000000"/>
          <w:sz w:val="22"/>
          <w:szCs w:val="22"/>
        </w:rPr>
        <w:t>resultaten</w:t>
      </w:r>
      <w:r w:rsidR="007B6EFD" w:rsidRPr="007B6EFD">
        <w:rPr>
          <w:rFonts w:ascii="Calibri" w:hAnsi="Calibri" w:cs="Calibri"/>
          <w:color w:val="000000"/>
          <w:sz w:val="22"/>
          <w:szCs w:val="22"/>
        </w:rPr>
        <w:t>:</w:t>
      </w:r>
    </w:p>
    <w:p w14:paraId="4195135F" w14:textId="4C02345D" w:rsidR="007B6EFD" w:rsidRPr="007B6EFD" w:rsidRDefault="007B6EFD" w:rsidP="007B6EFD">
      <w:pPr>
        <w:pStyle w:val="Lijstalinea"/>
        <w:numPr>
          <w:ilvl w:val="0"/>
          <w:numId w:val="1"/>
        </w:numPr>
        <w:rPr>
          <w:rFonts w:ascii="Calibri" w:hAnsi="Calibri" w:cs="Calibri"/>
          <w:color w:val="000000"/>
          <w:sz w:val="22"/>
          <w:szCs w:val="22"/>
        </w:rPr>
      </w:pPr>
      <w:r w:rsidRPr="007B6EFD">
        <w:rPr>
          <w:rFonts w:ascii="Calibri" w:hAnsi="Calibri" w:cs="Calibri"/>
          <w:color w:val="000000"/>
          <w:sz w:val="22"/>
          <w:szCs w:val="22"/>
        </w:rPr>
        <w:t>Zorgen dat ontwerpers de juiste keuze</w:t>
      </w:r>
      <w:r w:rsidR="00B03D1D">
        <w:rPr>
          <w:rFonts w:ascii="Calibri" w:hAnsi="Calibri" w:cs="Calibri"/>
          <w:color w:val="000000"/>
          <w:sz w:val="22"/>
          <w:szCs w:val="22"/>
        </w:rPr>
        <w:t>s</w:t>
      </w:r>
      <w:r w:rsidRPr="007B6EFD">
        <w:rPr>
          <w:rFonts w:ascii="Calibri" w:hAnsi="Calibri" w:cs="Calibri"/>
          <w:color w:val="000000"/>
          <w:sz w:val="22"/>
          <w:szCs w:val="22"/>
        </w:rPr>
        <w:t xml:space="preserve"> maken voor de bouwkundige detaillering;</w:t>
      </w:r>
    </w:p>
    <w:p w14:paraId="0F150A51" w14:textId="6B7EC957" w:rsidR="007B6EFD" w:rsidRPr="007B6EFD" w:rsidRDefault="007B6EFD" w:rsidP="007B6EFD">
      <w:pPr>
        <w:pStyle w:val="Lijstalinea"/>
        <w:numPr>
          <w:ilvl w:val="0"/>
          <w:numId w:val="1"/>
        </w:numPr>
        <w:rPr>
          <w:rFonts w:ascii="Calibri" w:hAnsi="Calibri" w:cs="Calibri"/>
          <w:color w:val="000000"/>
          <w:sz w:val="22"/>
          <w:szCs w:val="22"/>
        </w:rPr>
      </w:pPr>
      <w:r w:rsidRPr="007B6EFD">
        <w:rPr>
          <w:rFonts w:ascii="Calibri" w:hAnsi="Calibri" w:cs="Calibri"/>
          <w:color w:val="000000"/>
          <w:sz w:val="22"/>
          <w:szCs w:val="22"/>
        </w:rPr>
        <w:t xml:space="preserve">Stimuleren van innovaties voor bevestigingsmethoden, doordat de tool duidelijk maakt waar problemen </w:t>
      </w:r>
      <w:r w:rsidR="00EC0769">
        <w:rPr>
          <w:rFonts w:ascii="Calibri" w:hAnsi="Calibri" w:cs="Calibri"/>
          <w:color w:val="000000"/>
          <w:sz w:val="22"/>
          <w:szCs w:val="22"/>
        </w:rPr>
        <w:t xml:space="preserve">kunnen </w:t>
      </w:r>
      <w:r w:rsidRPr="007B6EFD">
        <w:rPr>
          <w:rFonts w:ascii="Calibri" w:hAnsi="Calibri" w:cs="Calibri"/>
          <w:color w:val="000000"/>
          <w:sz w:val="22"/>
          <w:szCs w:val="22"/>
        </w:rPr>
        <w:t>ontstaan;</w:t>
      </w:r>
    </w:p>
    <w:p w14:paraId="353980FF" w14:textId="79FEEE96" w:rsidR="007B6EFD" w:rsidRPr="007B6EFD" w:rsidRDefault="00EC0769" w:rsidP="007B6EFD">
      <w:pPr>
        <w:pStyle w:val="Lijstalinea"/>
        <w:numPr>
          <w:ilvl w:val="0"/>
          <w:numId w:val="1"/>
        </w:numPr>
        <w:rPr>
          <w:rFonts w:ascii="Calibri" w:hAnsi="Calibri" w:cs="Calibri"/>
          <w:color w:val="000000"/>
          <w:sz w:val="22"/>
          <w:szCs w:val="22"/>
        </w:rPr>
      </w:pPr>
      <w:r>
        <w:rPr>
          <w:rFonts w:ascii="Calibri" w:hAnsi="Calibri" w:cs="Calibri"/>
          <w:color w:val="000000"/>
          <w:sz w:val="22"/>
          <w:szCs w:val="22"/>
        </w:rPr>
        <w:t>Het faciliteren van d</w:t>
      </w:r>
      <w:r w:rsidR="007B6EFD" w:rsidRPr="007B6EFD">
        <w:rPr>
          <w:rFonts w:ascii="Calibri" w:hAnsi="Calibri" w:cs="Calibri"/>
          <w:color w:val="000000"/>
          <w:sz w:val="22"/>
          <w:szCs w:val="22"/>
        </w:rPr>
        <w:t xml:space="preserve">e beoordeling van gebouw(delen) op het gebied van </w:t>
      </w:r>
      <w:r w:rsidR="00B03D1D">
        <w:rPr>
          <w:rFonts w:ascii="Calibri" w:hAnsi="Calibri" w:cs="Calibri"/>
          <w:color w:val="000000"/>
          <w:sz w:val="22"/>
          <w:szCs w:val="22"/>
        </w:rPr>
        <w:t>m</w:t>
      </w:r>
      <w:r w:rsidR="007B6EFD" w:rsidRPr="007B6EFD">
        <w:rPr>
          <w:rFonts w:ascii="Calibri" w:hAnsi="Calibri" w:cs="Calibri"/>
          <w:color w:val="000000"/>
          <w:sz w:val="22"/>
          <w:szCs w:val="22"/>
        </w:rPr>
        <w:t>ilieuprestatie (</w:t>
      </w:r>
      <w:r w:rsidR="00B03D1D">
        <w:rPr>
          <w:rFonts w:ascii="Calibri" w:hAnsi="Calibri" w:cs="Calibri"/>
          <w:color w:val="000000"/>
          <w:sz w:val="22"/>
          <w:szCs w:val="22"/>
        </w:rPr>
        <w:t>zoals</w:t>
      </w:r>
      <w:r w:rsidR="007B6EFD" w:rsidRPr="007B6EFD">
        <w:rPr>
          <w:rFonts w:ascii="Calibri" w:hAnsi="Calibri" w:cs="Calibri"/>
          <w:color w:val="000000"/>
          <w:sz w:val="22"/>
          <w:szCs w:val="22"/>
        </w:rPr>
        <w:t xml:space="preserve"> MPG en LCA's) door het verschaffen van informatie (bijvoorbeeld in de toekomst via BIM);</w:t>
      </w:r>
    </w:p>
    <w:p w14:paraId="6B172B33" w14:textId="70295092" w:rsidR="002E400E" w:rsidRPr="002E400E" w:rsidRDefault="007B6EFD" w:rsidP="002E400E">
      <w:pPr>
        <w:pStyle w:val="Lijstalinea"/>
        <w:numPr>
          <w:ilvl w:val="0"/>
          <w:numId w:val="1"/>
        </w:numPr>
        <w:rPr>
          <w:sz w:val="22"/>
          <w:szCs w:val="22"/>
        </w:rPr>
      </w:pPr>
      <w:r w:rsidRPr="007B6EFD">
        <w:rPr>
          <w:rFonts w:ascii="Calibri" w:hAnsi="Calibri" w:cs="Calibri"/>
          <w:color w:val="000000"/>
          <w:sz w:val="22"/>
          <w:szCs w:val="22"/>
        </w:rPr>
        <w:t>De beoordeling van de interactie tussen losmaakbaarheid en andere bouwfysische aspecten.</w:t>
      </w:r>
    </w:p>
    <w:p w14:paraId="600FFE17" w14:textId="77777777" w:rsidR="002E400E" w:rsidRPr="002E400E" w:rsidRDefault="002E400E" w:rsidP="002E400E">
      <w:pPr>
        <w:rPr>
          <w:sz w:val="22"/>
          <w:szCs w:val="22"/>
        </w:rPr>
      </w:pPr>
    </w:p>
    <w:p w14:paraId="72E13B8F" w14:textId="77777777" w:rsidR="002E400E" w:rsidRDefault="002E400E" w:rsidP="002E400E">
      <w:pPr>
        <w:rPr>
          <w:sz w:val="22"/>
          <w:szCs w:val="22"/>
        </w:rPr>
      </w:pPr>
      <w:r>
        <w:rPr>
          <w:sz w:val="22"/>
          <w:szCs w:val="22"/>
        </w:rPr>
        <w:t xml:space="preserve">Ga voor de Rekentool Losmaakbaarheid naar ISSO Open, via </w:t>
      </w:r>
      <w:hyperlink r:id="rId8" w:history="1">
        <w:r w:rsidRPr="00263FC1">
          <w:rPr>
            <w:rStyle w:val="Hyperlink"/>
            <w:sz w:val="22"/>
            <w:szCs w:val="22"/>
          </w:rPr>
          <w:t>www.isso.nl</w:t>
        </w:r>
      </w:hyperlink>
      <w:r>
        <w:rPr>
          <w:sz w:val="22"/>
          <w:szCs w:val="22"/>
        </w:rPr>
        <w:t>.</w:t>
      </w:r>
    </w:p>
    <w:p w14:paraId="45B6DCB4" w14:textId="77777777" w:rsidR="002E400E" w:rsidRPr="007D1E2A" w:rsidRDefault="002E400E" w:rsidP="002E400E">
      <w:pPr>
        <w:rPr>
          <w:sz w:val="22"/>
          <w:szCs w:val="22"/>
        </w:rPr>
      </w:pPr>
    </w:p>
    <w:p w14:paraId="133DB3B2" w14:textId="77777777" w:rsidR="002E400E" w:rsidRPr="007D1E2A" w:rsidRDefault="002E400E" w:rsidP="002E400E">
      <w:pPr>
        <w:pStyle w:val="Geenafstand"/>
        <w:pBdr>
          <w:bottom w:val="single" w:sz="6" w:space="1" w:color="auto"/>
        </w:pBdr>
        <w:rPr>
          <w:rFonts w:eastAsia="Times New Roman" w:cstheme="minorHAnsi"/>
          <w:i/>
          <w:sz w:val="22"/>
          <w:szCs w:val="22"/>
          <w:lang w:eastAsia="nl-NL"/>
        </w:rPr>
      </w:pPr>
      <w:r w:rsidRPr="007D1E2A">
        <w:rPr>
          <w:rFonts w:eastAsia="Times New Roman" w:cstheme="minorHAnsi"/>
          <w:i/>
          <w:sz w:val="22"/>
          <w:szCs w:val="22"/>
          <w:lang w:eastAsia="nl-NL"/>
        </w:rPr>
        <w:t xml:space="preserve">- einde bericht – </w:t>
      </w:r>
    </w:p>
    <w:p w14:paraId="41236006" w14:textId="77777777" w:rsidR="002E400E" w:rsidRPr="007D1E2A" w:rsidRDefault="002E400E" w:rsidP="002E400E">
      <w:pPr>
        <w:pStyle w:val="Geenafstand"/>
        <w:rPr>
          <w:rFonts w:cstheme="minorHAnsi"/>
          <w:iCs/>
          <w:sz w:val="22"/>
          <w:szCs w:val="22"/>
        </w:rPr>
      </w:pPr>
      <w:r w:rsidRPr="007D1E2A">
        <w:rPr>
          <w:rFonts w:cstheme="minorHAnsi"/>
          <w:i/>
          <w:sz w:val="22"/>
          <w:szCs w:val="22"/>
        </w:rPr>
        <w:t>Noot voor de redactie, niet voor publicatie:</w:t>
      </w:r>
      <w:r w:rsidRPr="007D1E2A">
        <w:rPr>
          <w:rFonts w:cstheme="minorHAnsi"/>
          <w:i/>
          <w:sz w:val="22"/>
          <w:szCs w:val="22"/>
        </w:rPr>
        <w:br/>
      </w:r>
    </w:p>
    <w:p w14:paraId="05278E0A" w14:textId="77777777" w:rsidR="002E400E" w:rsidRPr="007D1E2A" w:rsidRDefault="002E400E" w:rsidP="002E400E">
      <w:pPr>
        <w:pStyle w:val="Geenafstand"/>
        <w:rPr>
          <w:sz w:val="22"/>
          <w:szCs w:val="22"/>
        </w:rPr>
      </w:pPr>
      <w:r w:rsidRPr="007D1E2A">
        <w:rPr>
          <w:rFonts w:cstheme="minorHAnsi"/>
          <w:iCs/>
          <w:sz w:val="22"/>
          <w:szCs w:val="22"/>
        </w:rPr>
        <w:t>Voor meer informatie of aanvullend beeldmateriaal kunt u contact opnemen met:</w:t>
      </w:r>
      <w:r w:rsidRPr="007D1E2A">
        <w:rPr>
          <w:rFonts w:cstheme="minorHAnsi"/>
          <w:iCs/>
          <w:sz w:val="22"/>
          <w:szCs w:val="22"/>
        </w:rPr>
        <w:br/>
      </w:r>
      <w:proofErr w:type="spellStart"/>
      <w:r w:rsidRPr="007D1E2A">
        <w:rPr>
          <w:rFonts w:cstheme="minorHAnsi"/>
          <w:iCs/>
          <w:sz w:val="22"/>
          <w:szCs w:val="22"/>
        </w:rPr>
        <w:t>Reshm</w:t>
      </w:r>
      <w:proofErr w:type="spellEnd"/>
      <w:r w:rsidRPr="007D1E2A">
        <w:rPr>
          <w:rFonts w:cstheme="minorHAnsi"/>
          <w:iCs/>
          <w:sz w:val="22"/>
          <w:szCs w:val="22"/>
        </w:rPr>
        <w:t xml:space="preserve"> </w:t>
      </w:r>
      <w:proofErr w:type="spellStart"/>
      <w:r w:rsidRPr="007D1E2A">
        <w:rPr>
          <w:rFonts w:cstheme="minorHAnsi"/>
          <w:iCs/>
          <w:sz w:val="22"/>
          <w:szCs w:val="22"/>
        </w:rPr>
        <w:t>Murli</w:t>
      </w:r>
      <w:proofErr w:type="spellEnd"/>
      <w:r w:rsidRPr="007D1E2A">
        <w:rPr>
          <w:rFonts w:cstheme="minorHAnsi"/>
          <w:iCs/>
          <w:sz w:val="22"/>
          <w:szCs w:val="22"/>
        </w:rPr>
        <w:t xml:space="preserve">, marketingspecialist bij ISSO </w:t>
      </w:r>
      <w:r w:rsidRPr="007D1E2A">
        <w:rPr>
          <w:rFonts w:cstheme="minorHAnsi"/>
          <w:iCs/>
          <w:sz w:val="22"/>
          <w:szCs w:val="22"/>
        </w:rPr>
        <w:br/>
        <w:t xml:space="preserve">T. 010-206 59 69 E. </w:t>
      </w:r>
      <w:hyperlink r:id="rId9" w:history="1">
        <w:r w:rsidRPr="007D1E2A">
          <w:rPr>
            <w:rStyle w:val="Hyperlink"/>
            <w:rFonts w:cstheme="minorHAnsi"/>
            <w:iCs/>
            <w:sz w:val="22"/>
            <w:szCs w:val="22"/>
          </w:rPr>
          <w:t>r.murli@isso.nl</w:t>
        </w:r>
      </w:hyperlink>
      <w:r w:rsidRPr="007D1E2A">
        <w:rPr>
          <w:rFonts w:cstheme="minorHAnsi"/>
          <w:iCs/>
          <w:sz w:val="22"/>
          <w:szCs w:val="22"/>
        </w:rPr>
        <w:t xml:space="preserve"> </w:t>
      </w:r>
    </w:p>
    <w:p w14:paraId="5980D086" w14:textId="77777777" w:rsidR="002E400E" w:rsidRPr="00AB5159" w:rsidRDefault="002E400E" w:rsidP="002E400E">
      <w:pPr>
        <w:rPr>
          <w:sz w:val="22"/>
          <w:szCs w:val="22"/>
        </w:rPr>
      </w:pPr>
    </w:p>
    <w:p w14:paraId="3DCC9C0A" w14:textId="77777777" w:rsidR="002E400E" w:rsidRPr="002139BF" w:rsidRDefault="002E400E" w:rsidP="002E400E">
      <w:pPr>
        <w:rPr>
          <w:rFonts w:eastAsia="Times New Roman" w:cstheme="minorHAnsi"/>
          <w:color w:val="000000"/>
          <w:kern w:val="0"/>
          <w:sz w:val="22"/>
          <w:szCs w:val="22"/>
          <w:lang w:eastAsia="nl-NL"/>
          <w14:ligatures w14:val="none"/>
        </w:rPr>
      </w:pPr>
    </w:p>
    <w:p w14:paraId="6D8B1308" w14:textId="77777777" w:rsidR="002E400E" w:rsidRPr="002139BF" w:rsidRDefault="002E400E" w:rsidP="002E400E">
      <w:pPr>
        <w:rPr>
          <w:rFonts w:cstheme="minorHAnsi"/>
          <w:sz w:val="22"/>
          <w:szCs w:val="22"/>
        </w:rPr>
      </w:pPr>
    </w:p>
    <w:p w14:paraId="0B660D39" w14:textId="77777777" w:rsidR="002E400E" w:rsidRPr="007D5CC2" w:rsidRDefault="002E400E" w:rsidP="002E400E">
      <w:pPr>
        <w:rPr>
          <w:sz w:val="22"/>
          <w:szCs w:val="22"/>
        </w:rPr>
      </w:pPr>
    </w:p>
    <w:p w14:paraId="55A143E9" w14:textId="77777777" w:rsidR="002E400E" w:rsidRPr="002E400E" w:rsidRDefault="002E400E" w:rsidP="002E400E">
      <w:pPr>
        <w:rPr>
          <w:sz w:val="22"/>
          <w:szCs w:val="22"/>
        </w:rPr>
      </w:pPr>
    </w:p>
    <w:sectPr w:rsidR="002E400E" w:rsidRPr="002E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0FE3"/>
    <w:multiLevelType w:val="hybridMultilevel"/>
    <w:tmpl w:val="5E2C5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670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0"/>
    <w:rsid w:val="00036273"/>
    <w:rsid w:val="00066A45"/>
    <w:rsid w:val="001475DF"/>
    <w:rsid w:val="001F2384"/>
    <w:rsid w:val="002E400E"/>
    <w:rsid w:val="00421BC3"/>
    <w:rsid w:val="00576370"/>
    <w:rsid w:val="006250C0"/>
    <w:rsid w:val="00715395"/>
    <w:rsid w:val="007B6EFD"/>
    <w:rsid w:val="00881C5E"/>
    <w:rsid w:val="009F77B6"/>
    <w:rsid w:val="00B03D1D"/>
    <w:rsid w:val="00B64ECE"/>
    <w:rsid w:val="00DA337A"/>
    <w:rsid w:val="00E126DC"/>
    <w:rsid w:val="00EC0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BB9E"/>
  <w15:chartTrackingRefBased/>
  <w15:docId w15:val="{9FC9CCF5-8365-9342-B679-1AA3CDE2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250C0"/>
  </w:style>
  <w:style w:type="character" w:styleId="Hyperlink">
    <w:name w:val="Hyperlink"/>
    <w:basedOn w:val="Standaardalinea-lettertype"/>
    <w:uiPriority w:val="99"/>
    <w:unhideWhenUsed/>
    <w:rsid w:val="006250C0"/>
    <w:rPr>
      <w:color w:val="0000FF"/>
      <w:u w:val="single"/>
    </w:rPr>
  </w:style>
  <w:style w:type="character" w:styleId="Vermelding">
    <w:name w:val="Mention"/>
    <w:basedOn w:val="Standaardalinea-lettertype"/>
    <w:uiPriority w:val="99"/>
    <w:unhideWhenUsed/>
    <w:rsid w:val="006250C0"/>
    <w:rPr>
      <w:color w:val="2B579A"/>
      <w:shd w:val="clear" w:color="auto" w:fill="E1DFDD"/>
    </w:rPr>
  </w:style>
  <w:style w:type="character" w:styleId="Onopgelostemelding">
    <w:name w:val="Unresolved Mention"/>
    <w:basedOn w:val="Standaardalinea-lettertype"/>
    <w:uiPriority w:val="99"/>
    <w:semiHidden/>
    <w:unhideWhenUsed/>
    <w:rsid w:val="006250C0"/>
    <w:rPr>
      <w:color w:val="605E5C"/>
      <w:shd w:val="clear" w:color="auto" w:fill="E1DFDD"/>
    </w:rPr>
  </w:style>
  <w:style w:type="paragraph" w:styleId="Lijstalinea">
    <w:name w:val="List Paragraph"/>
    <w:basedOn w:val="Standaard"/>
    <w:uiPriority w:val="34"/>
    <w:qFormat/>
    <w:rsid w:val="007B6EFD"/>
    <w:pPr>
      <w:ind w:left="720"/>
      <w:contextualSpacing/>
    </w:pPr>
  </w:style>
  <w:style w:type="paragraph" w:styleId="Revisie">
    <w:name w:val="Revision"/>
    <w:hidden/>
    <w:uiPriority w:val="99"/>
    <w:semiHidden/>
    <w:rsid w:val="00EC0769"/>
  </w:style>
  <w:style w:type="paragraph" w:styleId="Geenafstand">
    <w:name w:val="No Spacing"/>
    <w:uiPriority w:val="1"/>
    <w:qFormat/>
    <w:rsid w:val="002E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o.nl" TargetMode="External"/><Relationship Id="rId3" Type="http://schemas.openxmlformats.org/officeDocument/2006/relationships/numbering" Target="numbering.xml"/><Relationship Id="rId7" Type="http://schemas.openxmlformats.org/officeDocument/2006/relationships/hyperlink" Target="https://open.isso.nl/publicatie/isso-rapport-110250-circulariteit-in-referentiedetails/2021?query=circulari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murli@iss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13F82662BFD49B4C2E5348078B7B2" ma:contentTypeVersion="15" ma:contentTypeDescription="Een nieuw document maken." ma:contentTypeScope="" ma:versionID="9bdc6bef3e74ae87eb8678e1243bcebd">
  <xsd:schema xmlns:xsd="http://www.w3.org/2001/XMLSchema" xmlns:xs="http://www.w3.org/2001/XMLSchema" xmlns:p="http://schemas.microsoft.com/office/2006/metadata/properties" xmlns:ns2="831c4ba2-e968-4490-a443-7009c5763180" xmlns:ns3="6342a785-db13-4adb-a636-2d3f60b4d9f3" targetNamespace="http://schemas.microsoft.com/office/2006/metadata/properties" ma:root="true" ma:fieldsID="b59158829a92433e10b0b711184678ab" ns2:_="" ns3:_="">
    <xsd:import namespace="831c4ba2-e968-4490-a443-7009c5763180"/>
    <xsd:import namespace="6342a785-db13-4adb-a636-2d3f60b4d9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4ba2-e968-4490-a443-7009c576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3fa1bf-5192-490f-ae97-99b4fa206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2a785-db13-4adb-a636-2d3f60b4d9f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8a3bb-7274-4169-b300-72c666912dcb}" ma:internalName="TaxCatchAll" ma:showField="CatchAllData" ma:web="6342a785-db13-4adb-a636-2d3f60b4d9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CFCF4-FC9F-4CCA-A02A-0FC98D9964E0}">
  <ds:schemaRefs>
    <ds:schemaRef ds:uri="http://schemas.microsoft.com/sharepoint/v3/contenttype/forms"/>
  </ds:schemaRefs>
</ds:datastoreItem>
</file>

<file path=customXml/itemProps2.xml><?xml version="1.0" encoding="utf-8"?>
<ds:datastoreItem xmlns:ds="http://schemas.openxmlformats.org/officeDocument/2006/customXml" ds:itemID="{63FE663B-FA69-4FF3-923F-6DF96EC7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4ba2-e968-4490-a443-7009c5763180"/>
    <ds:schemaRef ds:uri="6342a785-db13-4adb-a636-2d3f60b4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2024-01-18T07:29:00Z</dcterms:created>
  <dcterms:modified xsi:type="dcterms:W3CDTF">2024-01-18T07:29:00Z</dcterms:modified>
</cp:coreProperties>
</file>